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FCEA" w14:textId="77777777" w:rsidR="006908A3" w:rsidRDefault="00000000">
      <w:pPr>
        <w:jc w:val="center"/>
      </w:pPr>
      <w:r>
        <w:rPr>
          <w:b/>
          <w:bCs/>
          <w:color w:val="2C2C2C"/>
          <w:sz w:val="30"/>
          <w:szCs w:val="30"/>
        </w:rPr>
        <w:t>FARAZ MOHAMMED SALEEM</w:t>
      </w:r>
    </w:p>
    <w:p w14:paraId="615C62B1" w14:textId="77777777" w:rsidR="006908A3" w:rsidRDefault="00000000">
      <w:pPr>
        <w:spacing w:before="28" w:after="12"/>
        <w:jc w:val="center"/>
      </w:pPr>
      <w:r>
        <w:rPr>
          <w:color w:val="888888"/>
          <w:sz w:val="18"/>
          <w:szCs w:val="18"/>
        </w:rPr>
        <w:t xml:space="preserve">(224) 216-2498 | faraz.md309@gmail.com | </w:t>
      </w:r>
      <w:hyperlink r:id="rId5" w:history="1">
        <w:r>
          <w:rPr>
            <w:color w:val="C9A84C"/>
            <w:sz w:val="18"/>
            <w:szCs w:val="18"/>
            <w:u w:val="single"/>
          </w:rPr>
          <w:t>linkedin.com/in/faraz-m-0b6236b0</w:t>
        </w:r>
      </w:hyperlink>
    </w:p>
    <w:p w14:paraId="304304EE" w14:textId="77777777" w:rsidR="006908A3" w:rsidRDefault="00000000">
      <w:pPr>
        <w:spacing w:after="16"/>
        <w:jc w:val="center"/>
      </w:pPr>
      <w:r>
        <w:rPr>
          <w:color w:val="888888"/>
          <w:sz w:val="17"/>
          <w:szCs w:val="17"/>
        </w:rPr>
        <w:t>Chicago, IL | Remote | Open to Relocation</w:t>
      </w:r>
    </w:p>
    <w:p w14:paraId="1620F621" w14:textId="77777777" w:rsidR="006908A3" w:rsidRDefault="00000000">
      <w:pPr>
        <w:pBdr>
          <w:top w:val="single" w:sz="3" w:space="4" w:color="C9A84C"/>
          <w:bottom w:val="single" w:sz="3" w:space="4" w:color="C9A84C"/>
        </w:pBdr>
        <w:spacing w:before="12" w:after="12"/>
        <w:jc w:val="center"/>
      </w:pPr>
      <w:r>
        <w:rPr>
          <w:b/>
          <w:bCs/>
          <w:color w:val="2C2C2C"/>
        </w:rPr>
        <w:t>SENIOR DATA GOVERNANCE ANALYST / CONSULTANT | Cross-Platform Data Catalog, Lineage, Classification &amp; Stewardship</w:t>
      </w:r>
    </w:p>
    <w:p w14:paraId="098F1766" w14:textId="77777777" w:rsidR="006908A3" w:rsidRDefault="00000000">
      <w:pPr>
        <w:spacing w:before="14" w:after="10"/>
        <w:jc w:val="center"/>
      </w:pPr>
      <w:r>
        <w:rPr>
          <w:i/>
          <w:iCs/>
          <w:color w:val="444444"/>
          <w:sz w:val="18"/>
          <w:szCs w:val="18"/>
        </w:rPr>
        <w:t>12+ years delivering governance outcomes across Financial Services and Healthcare, from classification accuracy and audit readiness to AI-ready data infrastructure and data lifecycle governance.</w:t>
      </w:r>
    </w:p>
    <w:p w14:paraId="51815B80" w14:textId="77777777" w:rsidR="006908A3" w:rsidRDefault="00000000">
      <w:pPr>
        <w:spacing w:before="6" w:after="14"/>
        <w:jc w:val="center"/>
      </w:pPr>
      <w:r>
        <w:rPr>
          <w:b/>
          <w:bCs/>
          <w:color w:val="2C2C2C"/>
          <w:sz w:val="18"/>
          <w:szCs w:val="18"/>
        </w:rPr>
        <w:t>PMP</w:t>
      </w:r>
      <w:r>
        <w:rPr>
          <w:color w:val="888888"/>
          <w:sz w:val="18"/>
          <w:szCs w:val="18"/>
        </w:rPr>
        <w:t xml:space="preserve">  |  </w:t>
      </w:r>
      <w:r>
        <w:rPr>
          <w:b/>
          <w:bCs/>
          <w:color w:val="2C2C2C"/>
          <w:sz w:val="18"/>
          <w:szCs w:val="18"/>
        </w:rPr>
        <w:t>CDMP Associate</w:t>
      </w:r>
      <w:r>
        <w:rPr>
          <w:color w:val="888888"/>
          <w:sz w:val="18"/>
          <w:szCs w:val="18"/>
        </w:rPr>
        <w:t xml:space="preserve">  |  </w:t>
      </w:r>
      <w:r>
        <w:rPr>
          <w:b/>
          <w:bCs/>
          <w:color w:val="2C2C2C"/>
          <w:sz w:val="18"/>
          <w:szCs w:val="18"/>
        </w:rPr>
        <w:t>Databricks Certified Data Engineer</w:t>
      </w:r>
      <w:r>
        <w:rPr>
          <w:color w:val="888888"/>
          <w:sz w:val="18"/>
          <w:szCs w:val="18"/>
        </w:rPr>
        <w:t xml:space="preserve">  |  </w:t>
      </w:r>
      <w:r>
        <w:rPr>
          <w:b/>
          <w:bCs/>
          <w:color w:val="2C2C2C"/>
          <w:sz w:val="18"/>
          <w:szCs w:val="18"/>
        </w:rPr>
        <w:t>CDGC Foundation</w:t>
      </w:r>
      <w:r>
        <w:rPr>
          <w:color w:val="888888"/>
          <w:sz w:val="18"/>
          <w:szCs w:val="18"/>
        </w:rPr>
        <w:t xml:space="preserve">  |  </w:t>
      </w:r>
      <w:r>
        <w:rPr>
          <w:b/>
          <w:bCs/>
          <w:color w:val="2C2C2C"/>
          <w:sz w:val="18"/>
          <w:szCs w:val="18"/>
        </w:rPr>
        <w:t>IDMC Foundation</w:t>
      </w:r>
      <w:r>
        <w:rPr>
          <w:color w:val="888888"/>
          <w:sz w:val="18"/>
          <w:szCs w:val="18"/>
        </w:rPr>
        <w:t xml:space="preserve">  |  </w:t>
      </w:r>
      <w:r>
        <w:rPr>
          <w:b/>
          <w:bCs/>
          <w:color w:val="2C2C2C"/>
          <w:sz w:val="18"/>
          <w:szCs w:val="18"/>
        </w:rPr>
        <w:t>GenRocket Certified</w:t>
      </w:r>
    </w:p>
    <w:p w14:paraId="6AA02739" w14:textId="77777777" w:rsidR="006908A3" w:rsidRDefault="00000000">
      <w:pPr>
        <w:spacing w:before="8" w:after="14"/>
      </w:pPr>
      <w:r>
        <w:rPr>
          <w:color w:val="444444"/>
          <w:sz w:val="19"/>
          <w:szCs w:val="19"/>
        </w:rPr>
        <w:t>Senior Data Governance Lead with 12+ years of hands-on program delivery across Financial Services and Healthcare, specializing in standing up and operationalizing governance programs spanning metadata management, data cataloging, lineage, classification rule engineering, stewardship enablement, data lifecycle governance, AI-ready data infrastructure, and regulatory compliance. Proven track record of translating governance work into measurable business outcomes: reduced classification false-positive rates by 30% across 100+ enterprise sources, governed 100K+ columns for PII compliance under NCUA, PCI DSS, and NIST, and delivered executive-level governance tool evaluations that shaped enterprise platform strategy. Deep cross-platform governance experience across Informatica IDMC/CDGC/MCC, Microsoft Purview, Databricks Unity Catalog, Snowflake, Azure, and Cyera; secondary strength in TDM, dynamic masking (SecuPi), and synthetic data (GenRocket).</w:t>
      </w:r>
    </w:p>
    <w:p w14:paraId="1D0D9ADD" w14:textId="77777777" w:rsidR="006908A3" w:rsidRDefault="00000000">
      <w:pPr>
        <w:spacing w:before="6" w:after="10"/>
      </w:pPr>
      <w:r>
        <w:rPr>
          <w:b/>
          <w:bCs/>
          <w:color w:val="2C2C2C"/>
          <w:sz w:val="18"/>
          <w:szCs w:val="18"/>
        </w:rPr>
        <w:t xml:space="preserve">Key Skills: </w:t>
      </w:r>
      <w:r>
        <w:rPr>
          <w:color w:val="444444"/>
          <w:sz w:val="18"/>
          <w:szCs w:val="18"/>
        </w:rPr>
        <w:t>Data Governance | Metadata Management | HR Data Governance | Master &amp; Reference Data Management | Informatica IDMC/CDGC/MCC | Microsoft Purview | Databricks Unity Catalog | Data Lineage | Data Quality | Data Risk Taxonomy | Key Risk Indicators | Classification &amp; Sensitivity Taxonomy | Sensitivity Labeling | Business Glossary | CDE Mapping | DAMA-DMBOK | AI Claire | AI-Ready Data Infrastructure | Snowflake | Azure (ADF, Synapse, ADLS) | AWS S3 | Data Lifecycle Management | PII/PHI Attestation | Issue Management &amp; Remediation | Stewardship Enablement | Team Leadership | Power BI | Tableau</w:t>
      </w:r>
    </w:p>
    <w:p w14:paraId="2DFACC01" w14:textId="77777777" w:rsidR="006908A3" w:rsidRDefault="00000000">
      <w:pPr>
        <w:pBdr>
          <w:bottom w:val="single" w:sz="4" w:space="3" w:color="C9A84C"/>
        </w:pBdr>
        <w:spacing w:before="160" w:after="45"/>
      </w:pPr>
      <w:r>
        <w:rPr>
          <w:b/>
          <w:bCs/>
          <w:color w:val="2C2C2C"/>
          <w:sz w:val="22"/>
          <w:szCs w:val="22"/>
        </w:rPr>
        <w:t>PROFESSIONAL EXPERIENCE</w:t>
      </w:r>
    </w:p>
    <w:p w14:paraId="0971134A" w14:textId="092C845F" w:rsidR="006908A3" w:rsidRDefault="000E000A">
      <w:pPr>
        <w:tabs>
          <w:tab w:val="right" w:pos="9360"/>
        </w:tabs>
        <w:spacing w:before="150"/>
      </w:pPr>
      <w:r>
        <w:rPr>
          <w:b/>
          <w:bCs/>
          <w:color w:val="2C2C2C"/>
        </w:rPr>
        <w:t>Boeing Employees Credit Union (BECU)</w:t>
      </w:r>
      <w:r>
        <w:tab/>
      </w:r>
      <w:r>
        <w:rPr>
          <w:color w:val="888888"/>
          <w:sz w:val="19"/>
          <w:szCs w:val="19"/>
        </w:rPr>
        <w:t>Tukwila, WA</w:t>
      </w:r>
    </w:p>
    <w:p w14:paraId="51FDB7F4" w14:textId="77777777" w:rsidR="006908A3" w:rsidRDefault="00000000">
      <w:pPr>
        <w:tabs>
          <w:tab w:val="right" w:pos="9360"/>
        </w:tabs>
        <w:spacing w:before="8" w:after="20"/>
      </w:pPr>
      <w:r>
        <w:rPr>
          <w:b/>
          <w:bCs/>
          <w:i/>
          <w:iCs/>
          <w:color w:val="444444"/>
          <w:sz w:val="19"/>
          <w:szCs w:val="19"/>
        </w:rPr>
        <w:t>Senior Data Governance Lead</w:t>
      </w:r>
      <w:r>
        <w:tab/>
      </w:r>
      <w:r>
        <w:rPr>
          <w:i/>
          <w:iCs/>
          <w:color w:val="888888"/>
          <w:sz w:val="19"/>
          <w:szCs w:val="19"/>
        </w:rPr>
        <w:t>Jan 2025 - Present</w:t>
      </w:r>
    </w:p>
    <w:p w14:paraId="0D86DCB7" w14:textId="77777777" w:rsidR="006908A3" w:rsidRDefault="00000000">
      <w:pPr>
        <w:spacing w:after="20"/>
      </w:pPr>
      <w:r>
        <w:rPr>
          <w:i/>
          <w:iCs/>
          <w:color w:val="888888"/>
          <w:sz w:val="19"/>
          <w:szCs w:val="19"/>
        </w:rPr>
        <w:t>Serving as primary governance program owner for one of the largest U.S. credit unions, spanning mortgage, loan origination, and retail modernization across cloud and on-premises environments.</w:t>
      </w:r>
    </w:p>
    <w:p w14:paraId="09CE207D" w14:textId="77777777" w:rsidR="006908A3" w:rsidRDefault="00000000">
      <w:pPr>
        <w:pStyle w:val="ListParagraph"/>
        <w:numPr>
          <w:ilvl w:val="0"/>
          <w:numId w:val="2"/>
        </w:numPr>
        <w:spacing w:before="10" w:after="10"/>
      </w:pPr>
      <w:r>
        <w:rPr>
          <w:color w:val="444444"/>
          <w:sz w:val="19"/>
          <w:szCs w:val="19"/>
        </w:rPr>
        <w:t>Centralized enterprise metadata governance for 100K+ columns and 500+ tables across six hybrid cloud and on-premises platforms (Databricks, Snowflake, ADF, Synapse, SQL Server, and Oracle) through CDGC and MCC, delivering catalog synchronization, lineage discovery, and sensitivity classification across the enterprise data estate; escalated product-level platform defects directly to Informatica support to maintain program continuity.</w:t>
      </w:r>
    </w:p>
    <w:p w14:paraId="43C1243E" w14:textId="77777777" w:rsidR="006908A3" w:rsidRDefault="00000000">
      <w:pPr>
        <w:pStyle w:val="ListParagraph"/>
        <w:numPr>
          <w:ilvl w:val="0"/>
          <w:numId w:val="2"/>
        </w:numPr>
        <w:spacing w:before="10" w:after="10"/>
      </w:pPr>
      <w:r>
        <w:rPr>
          <w:color w:val="444444"/>
          <w:sz w:val="19"/>
          <w:szCs w:val="19"/>
        </w:rPr>
        <w:t>Administered and evaluated Microsoft Purview for enterprise metadata management, Data Map scanning, catalog governance, sensitive-data classification, sensitivity labeling, glossary alignment, lineage visibility, and stewardship workflows across Azure and on-premises environments; configured data source connections, scans, glossary terms, and ownership alignment while comparing Purview capabilities against Informatica IDMC/CDGC to determine fit for enterprise-scale metadata, classification, and governance operations.</w:t>
      </w:r>
    </w:p>
    <w:p w14:paraId="63982747" w14:textId="77777777" w:rsidR="006908A3" w:rsidRDefault="00000000">
      <w:pPr>
        <w:pStyle w:val="ListParagraph"/>
        <w:numPr>
          <w:ilvl w:val="0"/>
          <w:numId w:val="2"/>
        </w:numPr>
        <w:spacing w:before="10" w:after="10"/>
      </w:pPr>
      <w:r>
        <w:rPr>
          <w:color w:val="444444"/>
          <w:sz w:val="19"/>
          <w:szCs w:val="19"/>
        </w:rPr>
        <w:t>Mapped governance capabilities across Informatica IDMC/CDGC, Microsoft Purview, Databricks Unity Catalog, Snowflake, and Cyera, comparing metadata harvesting, classification accuracy, lineage capture, stewardship enablement, sensitivity labeling, access governance, and scalability to support enterprise platform strategy.</w:t>
      </w:r>
    </w:p>
    <w:p w14:paraId="5F27B6F1" w14:textId="77777777" w:rsidR="006908A3" w:rsidRDefault="00000000">
      <w:pPr>
        <w:pStyle w:val="ListParagraph"/>
        <w:numPr>
          <w:ilvl w:val="0"/>
          <w:numId w:val="2"/>
        </w:numPr>
        <w:spacing w:before="10" w:after="10"/>
      </w:pPr>
      <w:r>
        <w:rPr>
          <w:color w:val="444444"/>
          <w:sz w:val="19"/>
          <w:szCs w:val="19"/>
        </w:rPr>
        <w:t>Reduced enterprise classification false-positive rates by approximately 30% across full-source rescans by engineering and maintaining 57+ Spark SQL regex rules in MCC covering PCI, PII, financial identifiers, postal addresses, and VIN data; achieved through iterative pattern refinement, targeted false-positive remediation, cross-functional rule governance reviews with data owners and compliance stakeholders, and CLAIRE AI-assisted classification recommendations for accelerated catalog enrichment; led DSPM platform evaluation (Cyera) to assess sensitive data discovery, cloud data posture visibility, and exposure risk across enterprise data sources.</w:t>
      </w:r>
    </w:p>
    <w:p w14:paraId="11A227D3" w14:textId="77777777" w:rsidR="006908A3" w:rsidRDefault="00000000">
      <w:pPr>
        <w:pStyle w:val="ListParagraph"/>
        <w:numPr>
          <w:ilvl w:val="0"/>
          <w:numId w:val="2"/>
        </w:numPr>
        <w:spacing w:before="10" w:after="10"/>
      </w:pPr>
      <w:r>
        <w:rPr>
          <w:color w:val="444444"/>
          <w:sz w:val="19"/>
          <w:szCs w:val="19"/>
        </w:rPr>
        <w:t>Governed data quality and classification across 100+ enterprise sources and the enterprise data domain taxonomy (Marketing, Finance, Treasury, Mortgage, Loan Origination, and Party/Identity master data), designing DQ rules, DQ occurrences, KPI dashboards, profiling baselines, CDE mappings, real-time scorecards, and issue management and remediation tracking workflows in CDGC to support senior leadership reviews and regulatory readiness.</w:t>
      </w:r>
    </w:p>
    <w:p w14:paraId="14DE8F30" w14:textId="77777777" w:rsidR="006908A3" w:rsidRDefault="00000000">
      <w:pPr>
        <w:pStyle w:val="ListParagraph"/>
        <w:numPr>
          <w:ilvl w:val="0"/>
          <w:numId w:val="2"/>
        </w:numPr>
        <w:spacing w:before="10" w:after="10"/>
      </w:pPr>
      <w:r>
        <w:rPr>
          <w:color w:val="444444"/>
          <w:sz w:val="19"/>
          <w:szCs w:val="19"/>
        </w:rPr>
        <w:t>Configured Unity Catalog sources, schemas, and tables with access policies, classification tags, and ownership assignments; built automated DQ validation frameworks using DQX and STTM-based rule ingestion to enforce accuracy, completeness, and anomaly detection across AI-ready governed datasets; applied CLAIRE AI-powered DQ agents for intelligent data quality monitoring and automated issue detection.</w:t>
      </w:r>
    </w:p>
    <w:p w14:paraId="3927ED7E" w14:textId="77777777" w:rsidR="006908A3" w:rsidRDefault="00000000">
      <w:pPr>
        <w:pStyle w:val="ListParagraph"/>
        <w:numPr>
          <w:ilvl w:val="0"/>
          <w:numId w:val="2"/>
        </w:numPr>
        <w:spacing w:before="10" w:after="10"/>
      </w:pPr>
      <w:r>
        <w:rPr>
          <w:color w:val="444444"/>
          <w:sz w:val="19"/>
          <w:szCs w:val="19"/>
        </w:rPr>
        <w:t>Directed a structured four-way governance tool evaluation across Informatica CDGC, Snowflake Trust Center, Databricks Unity Catalog, and Cyera against a shared mortgage dataset; delivered a 15-slide executive decision deck covering accuracy, false-positive rates, missed-field rate, scalability, and integration viability, establishing IDMC as the enterprise governance hub with Cyera as a complementary AI-driven classification feed.</w:t>
      </w:r>
    </w:p>
    <w:p w14:paraId="4BCED86F" w14:textId="77777777" w:rsidR="006908A3" w:rsidRDefault="00000000">
      <w:pPr>
        <w:pStyle w:val="ListParagraph"/>
        <w:numPr>
          <w:ilvl w:val="0"/>
          <w:numId w:val="2"/>
        </w:numPr>
        <w:spacing w:before="10" w:after="10"/>
      </w:pPr>
      <w:r>
        <w:rPr>
          <w:color w:val="444444"/>
          <w:sz w:val="19"/>
          <w:szCs w:val="19"/>
        </w:rPr>
        <w:t>Drove steward enablement and data literacy across the Encompass mortgage migration and loan origination programs, onboarding 15+ stewards across Mortgage, Compliance, and Engineering with glossary alignment, ownership matrices, CDE identification for net-new upgrade columns, and self-service governance documentation.</w:t>
      </w:r>
    </w:p>
    <w:p w14:paraId="5951F61C" w14:textId="77777777" w:rsidR="006908A3" w:rsidRDefault="00000000">
      <w:pPr>
        <w:pStyle w:val="ListParagraph"/>
        <w:numPr>
          <w:ilvl w:val="0"/>
          <w:numId w:val="2"/>
        </w:numPr>
        <w:spacing w:before="10" w:after="10"/>
      </w:pPr>
      <w:r>
        <w:rPr>
          <w:color w:val="444444"/>
          <w:sz w:val="19"/>
          <w:szCs w:val="19"/>
        </w:rPr>
        <w:t>Integrated S3 and Azure Data Lake sources into the enterprise governance framework via MCC for automated metadata harvesting and lineage discovery; replaced a manual Purview-based approach by configuring Databricks lineage scanning through MCC’s native scanner, establishing a scalable automated lineage path across hybrid cloud environments.</w:t>
      </w:r>
    </w:p>
    <w:p w14:paraId="385B7D91" w14:textId="77777777" w:rsidR="006908A3" w:rsidRDefault="00000000">
      <w:pPr>
        <w:pStyle w:val="ListParagraph"/>
        <w:numPr>
          <w:ilvl w:val="0"/>
          <w:numId w:val="2"/>
        </w:numPr>
        <w:spacing w:before="10" w:after="10"/>
      </w:pPr>
      <w:r>
        <w:rPr>
          <w:color w:val="444444"/>
          <w:sz w:val="19"/>
          <w:szCs w:val="19"/>
        </w:rPr>
        <w:t>Assessed end-to-end governance framework maturity across policy, process, and tooling; developed governance policies, data standards, data risk taxonomy, key risk indicators, and operating documentation required to advance the program from reactive compliance toward proactive, policy-driven stewardship aligned with enterprise risk objectives; delivered targeted training programs for data owners, stewards, and domain teams to operationalize the framework across business units.</w:t>
      </w:r>
    </w:p>
    <w:p w14:paraId="28ED0502" w14:textId="77777777" w:rsidR="006908A3" w:rsidRDefault="00000000">
      <w:pPr>
        <w:pStyle w:val="ListParagraph"/>
        <w:numPr>
          <w:ilvl w:val="0"/>
          <w:numId w:val="2"/>
        </w:numPr>
        <w:spacing w:before="10" w:after="10"/>
      </w:pPr>
      <w:r>
        <w:rPr>
          <w:color w:val="444444"/>
          <w:sz w:val="19"/>
          <w:szCs w:val="19"/>
        </w:rPr>
        <w:t>Executed PII attestation across 50+ applications within CMDB using Archer GRC, reviewing and remediating sensitivity classification taxonomy assignments at enterprise scale and coordinating audit-ready compliance sign-off with business owners and director-level stakeholders.</w:t>
      </w:r>
    </w:p>
    <w:p w14:paraId="27E5F5B2" w14:textId="77777777" w:rsidR="006908A3" w:rsidRDefault="00000000">
      <w:pPr>
        <w:pStyle w:val="ListParagraph"/>
        <w:numPr>
          <w:ilvl w:val="0"/>
          <w:numId w:val="2"/>
        </w:numPr>
        <w:spacing w:before="10" w:after="10"/>
      </w:pPr>
      <w:r>
        <w:rPr>
          <w:color w:val="444444"/>
          <w:sz w:val="19"/>
          <w:szCs w:val="19"/>
        </w:rPr>
        <w:t>Established the enterprise data retention, purging, and archival governance standard and associated data controls framework across business domains, aligning retention policies and data sharing agreements to the enterprise data classification and sensitivity taxonomy, remediating regulatory compliance gaps in backup and archival design, and driving cross-functional alignment across Engineering, Compliance, Legal, and Business to meet NCUA retention requirements.</w:t>
      </w:r>
    </w:p>
    <w:p w14:paraId="3C0F6A95" w14:textId="77777777" w:rsidR="006908A3" w:rsidRDefault="00000000">
      <w:pPr>
        <w:tabs>
          <w:tab w:val="right" w:pos="9360"/>
        </w:tabs>
        <w:spacing w:before="150"/>
      </w:pPr>
      <w:r>
        <w:rPr>
          <w:b/>
          <w:bCs/>
          <w:color w:val="2C2C2C"/>
        </w:rPr>
        <w:t>Sogeti</w:t>
      </w:r>
      <w:r>
        <w:tab/>
      </w:r>
      <w:r>
        <w:rPr>
          <w:color w:val="888888"/>
          <w:sz w:val="19"/>
          <w:szCs w:val="19"/>
        </w:rPr>
        <w:t>Tampa, FL</w:t>
      </w:r>
    </w:p>
    <w:p w14:paraId="3678A375" w14:textId="77777777" w:rsidR="006908A3" w:rsidRDefault="00000000">
      <w:pPr>
        <w:tabs>
          <w:tab w:val="right" w:pos="9360"/>
        </w:tabs>
        <w:spacing w:before="8" w:after="20"/>
      </w:pPr>
      <w:r>
        <w:rPr>
          <w:b/>
          <w:bCs/>
          <w:i/>
          <w:iCs/>
          <w:color w:val="444444"/>
          <w:sz w:val="19"/>
          <w:szCs w:val="19"/>
        </w:rPr>
        <w:t>Manager, Data and Analytics</w:t>
      </w:r>
      <w:r>
        <w:tab/>
      </w:r>
      <w:r>
        <w:rPr>
          <w:i/>
          <w:iCs/>
          <w:color w:val="888888"/>
          <w:sz w:val="19"/>
          <w:szCs w:val="19"/>
        </w:rPr>
        <w:t>May 2024 - Jan 2025</w:t>
      </w:r>
    </w:p>
    <w:p w14:paraId="4D23845D" w14:textId="77777777" w:rsidR="006908A3" w:rsidRDefault="00000000">
      <w:pPr>
        <w:spacing w:before="50" w:after="10"/>
      </w:pPr>
      <w:r>
        <w:rPr>
          <w:b/>
          <w:bCs/>
          <w:i/>
          <w:iCs/>
          <w:color w:val="2C2C2C"/>
          <w:sz w:val="19"/>
          <w:szCs w:val="19"/>
        </w:rPr>
        <w:t>Client: First Command Financial Services</w:t>
      </w:r>
    </w:p>
    <w:p w14:paraId="6699BADA" w14:textId="77777777" w:rsidR="006908A3" w:rsidRDefault="00000000">
      <w:pPr>
        <w:spacing w:after="20"/>
      </w:pPr>
      <w:r>
        <w:rPr>
          <w:i/>
          <w:iCs/>
          <w:color w:val="888888"/>
          <w:sz w:val="19"/>
          <w:szCs w:val="19"/>
        </w:rPr>
        <w:t>Strategic TDM and governance assessment for a wealth management firm’s Salesforce environment.</w:t>
      </w:r>
    </w:p>
    <w:p w14:paraId="32A21995" w14:textId="77777777" w:rsidR="006908A3" w:rsidRDefault="00000000">
      <w:pPr>
        <w:pStyle w:val="ListParagraph"/>
        <w:numPr>
          <w:ilvl w:val="0"/>
          <w:numId w:val="2"/>
        </w:numPr>
        <w:spacing w:before="10" w:after="10"/>
      </w:pPr>
      <w:r>
        <w:rPr>
          <w:color w:val="444444"/>
          <w:sz w:val="19"/>
          <w:szCs w:val="19"/>
        </w:rPr>
        <w:t>Led end-to-end TDM and governance assessment, identifying masking gaps, synthetic data opportunities, and compliance risks; built current-state and target-state maturity models and translated findings into an actionable roadmap covering data security, QA automation, DevOps readiness, and governance controls.</w:t>
      </w:r>
    </w:p>
    <w:p w14:paraId="0FBC418C" w14:textId="77777777" w:rsidR="006908A3" w:rsidRDefault="00000000">
      <w:pPr>
        <w:pStyle w:val="ListParagraph"/>
        <w:numPr>
          <w:ilvl w:val="0"/>
          <w:numId w:val="2"/>
        </w:numPr>
        <w:spacing w:before="10" w:after="10"/>
      </w:pPr>
      <w:r>
        <w:rPr>
          <w:color w:val="444444"/>
          <w:sz w:val="19"/>
          <w:szCs w:val="19"/>
        </w:rPr>
        <w:t>Developed and delivered RFP documentation for TDM and governance tooling evaluation, coordinating vendor scoring criteria and presenting final selection recommendations to senior leadership.</w:t>
      </w:r>
    </w:p>
    <w:p w14:paraId="442B5839" w14:textId="77777777" w:rsidR="006908A3" w:rsidRDefault="00000000">
      <w:pPr>
        <w:pStyle w:val="ListParagraph"/>
        <w:numPr>
          <w:ilvl w:val="0"/>
          <w:numId w:val="2"/>
        </w:numPr>
        <w:spacing w:before="10" w:after="10"/>
      </w:pPr>
      <w:r>
        <w:rPr>
          <w:color w:val="444444"/>
          <w:sz w:val="19"/>
          <w:szCs w:val="19"/>
        </w:rPr>
        <w:t>Managed engagement budget, resource allocation, and delivery timelines across onshore and offshore teams; established weekly executive steering committee updates translating technical findings into business risk narratives for C-suite and VP-level stakeholders.</w:t>
      </w:r>
    </w:p>
    <w:p w14:paraId="4DE45DAB" w14:textId="77777777" w:rsidR="006908A3" w:rsidRDefault="00000000">
      <w:pPr>
        <w:spacing w:before="50" w:after="10"/>
      </w:pPr>
      <w:r>
        <w:rPr>
          <w:b/>
          <w:bCs/>
          <w:i/>
          <w:iCs/>
          <w:color w:val="2C2C2C"/>
          <w:sz w:val="19"/>
          <w:szCs w:val="19"/>
        </w:rPr>
        <w:t>Client: Zelis Healthcare</w:t>
      </w:r>
    </w:p>
    <w:p w14:paraId="4CEA5697" w14:textId="77777777" w:rsidR="006908A3" w:rsidRDefault="00000000">
      <w:pPr>
        <w:spacing w:after="20"/>
      </w:pPr>
      <w:r>
        <w:rPr>
          <w:i/>
          <w:iCs/>
          <w:color w:val="888888"/>
          <w:sz w:val="19"/>
          <w:szCs w:val="19"/>
        </w:rPr>
        <w:t>SecuPi dynamic masking and governance implementation for healthcare claims processing.</w:t>
      </w:r>
    </w:p>
    <w:p w14:paraId="5508C728" w14:textId="77777777" w:rsidR="006908A3" w:rsidRDefault="00000000">
      <w:pPr>
        <w:pStyle w:val="ListParagraph"/>
        <w:numPr>
          <w:ilvl w:val="0"/>
          <w:numId w:val="2"/>
        </w:numPr>
        <w:spacing w:before="10" w:after="10"/>
      </w:pPr>
      <w:r>
        <w:rPr>
          <w:color w:val="444444"/>
          <w:sz w:val="19"/>
          <w:szCs w:val="19"/>
        </w:rPr>
        <w:t>Deployed SecuPi dynamic masking and database activity monitoring across healthcare claims environments, improving PHI/PII protection, audit trail integrity, and offshore access controls across claims, provider, employee, and financial data domains.</w:t>
      </w:r>
    </w:p>
    <w:p w14:paraId="4CCD1D60" w14:textId="77777777" w:rsidR="006908A3" w:rsidRDefault="00000000">
      <w:pPr>
        <w:pStyle w:val="ListParagraph"/>
        <w:numPr>
          <w:ilvl w:val="0"/>
          <w:numId w:val="2"/>
        </w:numPr>
        <w:spacing w:before="10" w:after="10"/>
      </w:pPr>
      <w:r>
        <w:rPr>
          <w:color w:val="444444"/>
          <w:sz w:val="19"/>
          <w:szCs w:val="19"/>
        </w:rPr>
        <w:t>Defined ABAC/RBAC policies, masking rules, and lineage practices aligned to HIPAA, GDPR, and DAMA-DMBOK standards; contributed to SOW development and contract renewals for governance and TDM expansion phases; applied DLP controls through data classification policies and access restrictions to prevent unauthorized exposure of PHI/PII across non-production environments.</w:t>
      </w:r>
    </w:p>
    <w:p w14:paraId="73ECCF87" w14:textId="77777777" w:rsidR="006908A3" w:rsidRDefault="00000000">
      <w:pPr>
        <w:pStyle w:val="ListParagraph"/>
        <w:numPr>
          <w:ilvl w:val="0"/>
          <w:numId w:val="2"/>
        </w:numPr>
        <w:spacing w:before="10" w:after="10"/>
      </w:pPr>
      <w:r>
        <w:rPr>
          <w:color w:val="444444"/>
          <w:sz w:val="19"/>
          <w:szCs w:val="19"/>
        </w:rPr>
        <w:t>Managed a team of 20 consultants across data security, ETL, and governance workstreams; reported program status, risk escalations, and milestone progress directly to the client’s VP of Data and Chief Compliance Officer on a bi-weekly cadence.</w:t>
      </w:r>
    </w:p>
    <w:p w14:paraId="5EE25E36" w14:textId="77777777" w:rsidR="006908A3" w:rsidRDefault="00000000">
      <w:pPr>
        <w:pStyle w:val="ListParagraph"/>
        <w:numPr>
          <w:ilvl w:val="0"/>
          <w:numId w:val="2"/>
        </w:numPr>
        <w:spacing w:before="10" w:after="10"/>
      </w:pPr>
      <w:r>
        <w:rPr>
          <w:color w:val="444444"/>
          <w:sz w:val="19"/>
          <w:szCs w:val="19"/>
        </w:rPr>
        <w:t>Across First Command and Zelis, advised clients on data governance, test data management, data protection, and non-production data strategy, connecting masking, synthetic data generation, access controls, metadata, lineage, and compliance requirements into practical roadmaps for regulated financial services and healthcare environments.</w:t>
      </w:r>
    </w:p>
    <w:p w14:paraId="2D451450" w14:textId="77777777" w:rsidR="006908A3" w:rsidRDefault="00000000">
      <w:pPr>
        <w:tabs>
          <w:tab w:val="right" w:pos="9360"/>
        </w:tabs>
        <w:spacing w:before="150"/>
      </w:pPr>
      <w:r>
        <w:rPr>
          <w:b/>
          <w:bCs/>
          <w:color w:val="2C2C2C"/>
        </w:rPr>
        <w:t>Priority Health</w:t>
      </w:r>
      <w:r>
        <w:tab/>
      </w:r>
      <w:r>
        <w:rPr>
          <w:color w:val="888888"/>
          <w:sz w:val="19"/>
          <w:szCs w:val="19"/>
        </w:rPr>
        <w:t>Grand Rapids, MI</w:t>
      </w:r>
    </w:p>
    <w:p w14:paraId="4E28FA9B" w14:textId="77777777" w:rsidR="006908A3" w:rsidRDefault="00000000">
      <w:pPr>
        <w:tabs>
          <w:tab w:val="right" w:pos="9360"/>
        </w:tabs>
        <w:spacing w:before="8" w:after="20"/>
      </w:pPr>
      <w:r>
        <w:rPr>
          <w:b/>
          <w:bCs/>
          <w:i/>
          <w:iCs/>
          <w:color w:val="444444"/>
          <w:sz w:val="19"/>
          <w:szCs w:val="19"/>
        </w:rPr>
        <w:t>Informatica ETL / TDM Lead</w:t>
      </w:r>
      <w:r>
        <w:tab/>
      </w:r>
      <w:r>
        <w:rPr>
          <w:i/>
          <w:iCs/>
          <w:color w:val="888888"/>
          <w:sz w:val="19"/>
          <w:szCs w:val="19"/>
        </w:rPr>
        <w:t>Mar 2018 - Apr 2024</w:t>
      </w:r>
    </w:p>
    <w:p w14:paraId="1522F955" w14:textId="77777777" w:rsidR="006908A3" w:rsidRDefault="00000000">
      <w:pPr>
        <w:spacing w:after="20"/>
      </w:pPr>
      <w:r>
        <w:rPr>
          <w:i/>
          <w:iCs/>
          <w:color w:val="888888"/>
          <w:sz w:val="19"/>
          <w:szCs w:val="19"/>
        </w:rPr>
        <w:t>TDM implementation and IDMC metadata cataloging for a healthcare payer across the full enterprise data estate including member, employee, provider, claims, and HR data domains spanning FACETS, Medicaid, Medicare, and EDI programs.</w:t>
      </w:r>
    </w:p>
    <w:p w14:paraId="79C3F05E" w14:textId="77777777" w:rsidR="006908A3" w:rsidRDefault="00000000">
      <w:pPr>
        <w:pStyle w:val="ListParagraph"/>
        <w:numPr>
          <w:ilvl w:val="0"/>
          <w:numId w:val="2"/>
        </w:numPr>
        <w:spacing w:before="10" w:after="10"/>
      </w:pPr>
      <w:r>
        <w:rPr>
          <w:color w:val="444444"/>
          <w:sz w:val="19"/>
          <w:szCs w:val="19"/>
        </w:rPr>
        <w:t>Led masking, subsetting, and synthetic data initiatives for FACETS, PHDB, and other payer applications, supporting HIPAA-compliant non-production environments across 50+ database schemas.</w:t>
      </w:r>
    </w:p>
    <w:p w14:paraId="6CE932B8" w14:textId="77777777" w:rsidR="006908A3" w:rsidRDefault="00000000">
      <w:pPr>
        <w:pStyle w:val="ListParagraph"/>
        <w:numPr>
          <w:ilvl w:val="0"/>
          <w:numId w:val="2"/>
        </w:numPr>
        <w:spacing w:before="10" w:after="10"/>
      </w:pPr>
      <w:r>
        <w:rPr>
          <w:color w:val="444444"/>
          <w:sz w:val="19"/>
          <w:szCs w:val="19"/>
        </w:rPr>
        <w:t>Supported payer and state data programs through ETL pipeline design for Medicaid, Medicare, NACHA, and EDI (834/837/835) transactions while maintaining compliance with encryption and data-protection requirements.</w:t>
      </w:r>
    </w:p>
    <w:p w14:paraId="494B9E53" w14:textId="77777777" w:rsidR="006908A3" w:rsidRDefault="00000000">
      <w:pPr>
        <w:pStyle w:val="ListParagraph"/>
        <w:numPr>
          <w:ilvl w:val="0"/>
          <w:numId w:val="2"/>
        </w:numPr>
        <w:spacing w:before="10" w:after="10"/>
      </w:pPr>
      <w:r>
        <w:rPr>
          <w:color w:val="444444"/>
          <w:sz w:val="19"/>
          <w:szCs w:val="19"/>
        </w:rPr>
        <w:t>Implemented IDMC metadata cataloging and lineage to classify key data elements, improve ownership visibility, and strengthen audit readiness; integrated MCC and AI Claire for PHI traceability and CDE alignment.</w:t>
      </w:r>
    </w:p>
    <w:p w14:paraId="7505BC20" w14:textId="77777777" w:rsidR="006908A3" w:rsidRDefault="00000000">
      <w:pPr>
        <w:pStyle w:val="ListParagraph"/>
        <w:numPr>
          <w:ilvl w:val="0"/>
          <w:numId w:val="2"/>
        </w:numPr>
        <w:spacing w:before="10" w:after="10"/>
      </w:pPr>
      <w:r>
        <w:rPr>
          <w:color w:val="444444"/>
          <w:sz w:val="19"/>
          <w:szCs w:val="19"/>
        </w:rPr>
        <w:t>Defined and enforced non-production data governance standards across healthcare payer environments, establishing the data classification taxonomy, masking rules, access controls, and HIPAA-compliant handling requirements to ensure governed, regulatory-safe data usage across testing and development workstreams; implemented DLP-aligned controls to restrict sensitive PHI/PII movement across environments and prevent unauthorized data exposure.</w:t>
      </w:r>
    </w:p>
    <w:p w14:paraId="780F1FFE" w14:textId="77777777" w:rsidR="006908A3" w:rsidRDefault="00000000">
      <w:pPr>
        <w:pStyle w:val="ListParagraph"/>
        <w:numPr>
          <w:ilvl w:val="0"/>
          <w:numId w:val="2"/>
        </w:numPr>
        <w:spacing w:before="10" w:after="10"/>
      </w:pPr>
      <w:r>
        <w:rPr>
          <w:color w:val="444444"/>
          <w:sz w:val="19"/>
          <w:szCs w:val="19"/>
        </w:rPr>
        <w:t>Partnered with data owners, application teams, QA leads, and compliance stakeholders to identify sensitive data elements, define governed handling rules, and align masking, subsetting, metadata, and lineage practices with HIPAA-driven data governance requirements across payer systems.</w:t>
      </w:r>
    </w:p>
    <w:p w14:paraId="774B4397" w14:textId="77777777" w:rsidR="006908A3" w:rsidRDefault="00000000">
      <w:pPr>
        <w:pBdr>
          <w:bottom w:val="single" w:sz="4" w:space="3" w:color="C9A84C"/>
        </w:pBdr>
        <w:spacing w:before="160" w:after="45"/>
      </w:pPr>
      <w:r>
        <w:rPr>
          <w:b/>
          <w:bCs/>
          <w:color w:val="2C2C2C"/>
          <w:sz w:val="22"/>
          <w:szCs w:val="22"/>
        </w:rPr>
        <w:t>EARLIER CAREER</w:t>
      </w:r>
    </w:p>
    <w:p w14:paraId="1D6CDC7D" w14:textId="77777777" w:rsidR="006908A3" w:rsidRDefault="00000000">
      <w:pPr>
        <w:tabs>
          <w:tab w:val="right" w:pos="9360"/>
        </w:tabs>
        <w:spacing w:before="30" w:after="8"/>
      </w:pPr>
      <w:r>
        <w:rPr>
          <w:b/>
          <w:bCs/>
          <w:color w:val="2C2C2C"/>
          <w:sz w:val="19"/>
          <w:szCs w:val="19"/>
        </w:rPr>
        <w:t>Kemper Insurance</w:t>
      </w:r>
      <w:r>
        <w:rPr>
          <w:color w:val="444444"/>
          <w:sz w:val="19"/>
          <w:szCs w:val="19"/>
        </w:rPr>
        <w:t xml:space="preserve"> | ETL Consultant</w:t>
      </w:r>
      <w:r>
        <w:tab/>
      </w:r>
      <w:r>
        <w:rPr>
          <w:i/>
          <w:iCs/>
          <w:color w:val="888888"/>
          <w:sz w:val="18"/>
          <w:szCs w:val="18"/>
        </w:rPr>
        <w:t>Jan 2016 - Mar 2018</w:t>
      </w:r>
    </w:p>
    <w:p w14:paraId="745358C9" w14:textId="77777777" w:rsidR="006908A3" w:rsidRDefault="00000000">
      <w:pPr>
        <w:spacing w:before="2" w:after="12"/>
      </w:pPr>
      <w:r>
        <w:rPr>
          <w:color w:val="444444"/>
          <w:sz w:val="18"/>
          <w:szCs w:val="18"/>
        </w:rPr>
        <w:t>Informatica workflows, data profiling, classification, and multi-source integration for insurance data domains.</w:t>
      </w:r>
    </w:p>
    <w:p w14:paraId="3C820BC2" w14:textId="77777777" w:rsidR="006908A3" w:rsidRDefault="00000000">
      <w:pPr>
        <w:tabs>
          <w:tab w:val="right" w:pos="9360"/>
        </w:tabs>
        <w:spacing w:before="2" w:after="8"/>
      </w:pPr>
      <w:r>
        <w:rPr>
          <w:b/>
          <w:bCs/>
          <w:color w:val="2C2C2C"/>
          <w:sz w:val="19"/>
          <w:szCs w:val="19"/>
        </w:rPr>
        <w:t>AIM Specialty Health</w:t>
      </w:r>
      <w:r>
        <w:rPr>
          <w:color w:val="444444"/>
          <w:sz w:val="19"/>
          <w:szCs w:val="19"/>
        </w:rPr>
        <w:t xml:space="preserve"> | Data Engineer</w:t>
      </w:r>
      <w:r>
        <w:tab/>
      </w:r>
      <w:r>
        <w:rPr>
          <w:i/>
          <w:iCs/>
          <w:color w:val="888888"/>
          <w:sz w:val="18"/>
          <w:szCs w:val="18"/>
        </w:rPr>
        <w:t>Dec 2014 - Dec 2015</w:t>
      </w:r>
    </w:p>
    <w:p w14:paraId="6409EB2A" w14:textId="77777777" w:rsidR="006908A3" w:rsidRDefault="00000000">
      <w:pPr>
        <w:spacing w:before="2" w:after="12"/>
      </w:pPr>
      <w:r>
        <w:rPr>
          <w:color w:val="444444"/>
          <w:sz w:val="18"/>
          <w:szCs w:val="18"/>
        </w:rPr>
        <w:t>ETL logic, CDC mappings, and governance-oriented handling rules for healthcare claims processing using Python, Pandas, and SQL.</w:t>
      </w:r>
    </w:p>
    <w:p w14:paraId="6B8F945B" w14:textId="77777777" w:rsidR="006908A3" w:rsidRDefault="00000000">
      <w:pPr>
        <w:pBdr>
          <w:bottom w:val="single" w:sz="4" w:space="3" w:color="C9A84C"/>
        </w:pBdr>
        <w:spacing w:before="160" w:after="45"/>
      </w:pPr>
      <w:r>
        <w:rPr>
          <w:b/>
          <w:bCs/>
          <w:color w:val="2C2C2C"/>
          <w:sz w:val="22"/>
          <w:szCs w:val="22"/>
        </w:rPr>
        <w:t>EDUCATION</w:t>
      </w:r>
    </w:p>
    <w:p w14:paraId="7E3B48B0" w14:textId="77777777" w:rsidR="006908A3" w:rsidRDefault="00000000">
      <w:pPr>
        <w:spacing w:before="30" w:after="8"/>
      </w:pPr>
      <w:r>
        <w:rPr>
          <w:color w:val="444444"/>
          <w:sz w:val="19"/>
          <w:szCs w:val="19"/>
        </w:rPr>
        <w:t>Master of Science in Information Systems and Security, University of the Cumberlands, KY, USA</w:t>
      </w:r>
    </w:p>
    <w:p w14:paraId="43607BDA" w14:textId="77777777" w:rsidR="006908A3" w:rsidRDefault="00000000">
      <w:pPr>
        <w:spacing w:after="8"/>
      </w:pPr>
      <w:r>
        <w:rPr>
          <w:color w:val="444444"/>
          <w:sz w:val="19"/>
          <w:szCs w:val="19"/>
        </w:rPr>
        <w:t>Bachelor of Engineering, Electronics and Communication, JNTU, Hyderabad, India</w:t>
      </w:r>
    </w:p>
    <w:p w14:paraId="677C3408" w14:textId="77777777" w:rsidR="006908A3" w:rsidRDefault="00000000">
      <w:pPr>
        <w:pBdr>
          <w:bottom w:val="single" w:sz="4" w:space="3" w:color="C9A84C"/>
        </w:pBdr>
        <w:spacing w:before="160" w:after="45"/>
      </w:pPr>
      <w:r>
        <w:rPr>
          <w:b/>
          <w:bCs/>
          <w:color w:val="2C2C2C"/>
          <w:sz w:val="22"/>
          <w:szCs w:val="22"/>
        </w:rPr>
        <w:t>TECHNICAL PROFICIENCIES</w:t>
      </w:r>
    </w:p>
    <w:p w14:paraId="22E50EF2" w14:textId="77777777" w:rsidR="006908A3" w:rsidRDefault="006908A3">
      <w:pPr>
        <w:spacing w:before="25"/>
      </w:pP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6908A3" w14:paraId="734A690B" w14:textId="77777777">
        <w:tblPrEx>
          <w:tblCellMar>
            <w:top w:w="0" w:type="dxa"/>
            <w:bottom w:w="0" w:type="dxa"/>
          </w:tblCellMar>
        </w:tblPrEx>
        <w:tc>
          <w:tcPr>
            <w:tcW w:w="2200" w:type="dxa"/>
            <w:tcBorders>
              <w:top w:val="single" w:sz="1" w:space="0" w:color="D8D8D8"/>
              <w:left w:val="single" w:sz="1" w:space="0" w:color="D8D8D8"/>
              <w:bottom w:val="single" w:sz="1" w:space="0" w:color="D8D8D8"/>
              <w:right w:val="single" w:sz="1" w:space="0" w:color="D8D8D8"/>
            </w:tcBorders>
            <w:shd w:val="clear" w:color="auto" w:fill="2C2C2C"/>
            <w:tcMar>
              <w:top w:w="35" w:type="dxa"/>
              <w:left w:w="80" w:type="dxa"/>
              <w:bottom w:w="35" w:type="dxa"/>
              <w:right w:w="80" w:type="dxa"/>
            </w:tcMar>
          </w:tcPr>
          <w:p w14:paraId="487B0CF1" w14:textId="77777777" w:rsidR="006908A3" w:rsidRDefault="00000000">
            <w:r>
              <w:rPr>
                <w:b/>
                <w:bCs/>
                <w:color w:val="FFFFFF"/>
                <w:sz w:val="17"/>
                <w:szCs w:val="17"/>
              </w:rPr>
              <w:t>Governance &amp; Metadata</w:t>
            </w:r>
          </w:p>
        </w:tc>
        <w:tc>
          <w:tcPr>
            <w:tcW w:w="7160" w:type="dxa"/>
            <w:tcBorders>
              <w:top w:val="single" w:sz="1" w:space="0" w:color="D8D8D8"/>
              <w:left w:val="single" w:sz="1" w:space="0" w:color="D8D8D8"/>
              <w:bottom w:val="single" w:sz="1" w:space="0" w:color="D8D8D8"/>
              <w:right w:val="single" w:sz="1" w:space="0" w:color="D8D8D8"/>
            </w:tcBorders>
            <w:shd w:val="clear" w:color="auto" w:fill="FAFAFA"/>
            <w:tcMar>
              <w:top w:w="35" w:type="dxa"/>
              <w:left w:w="80" w:type="dxa"/>
              <w:bottom w:w="35" w:type="dxa"/>
              <w:right w:w="80" w:type="dxa"/>
            </w:tcMar>
          </w:tcPr>
          <w:p w14:paraId="33AC47C7" w14:textId="77777777" w:rsidR="006908A3" w:rsidRDefault="00000000">
            <w:r>
              <w:rPr>
                <w:color w:val="444444"/>
                <w:sz w:val="17"/>
                <w:szCs w:val="17"/>
              </w:rPr>
              <w:t>Informatica IDMC, CDGC, Metadata Command Center (MCC), Microsoft Purview (Data Map, Data Catalog, Business Glossary, Classification Rules, Sensitivity Labeling), Data Profiling, Data Quality Rules &amp; Occurrences, DQ Scorecards, AI Claire, Data Lineage, Classification Taxonomy, Data Risk Taxonomy, Key Risk Indicators, Master &amp; Reference Data Governance, Custom Attributes, Stewardship Workflows, Data Lifecycle Management, DAMA-DMBOK; Familiarity with Collibra, Alation, Cyera</w:t>
            </w:r>
          </w:p>
        </w:tc>
      </w:tr>
      <w:tr w:rsidR="006908A3" w14:paraId="20AF3925" w14:textId="77777777">
        <w:tblPrEx>
          <w:tblCellMar>
            <w:top w:w="0" w:type="dxa"/>
            <w:bottom w:w="0" w:type="dxa"/>
          </w:tblCellMar>
        </w:tblPrEx>
        <w:tc>
          <w:tcPr>
            <w:tcW w:w="2200" w:type="dxa"/>
            <w:tcBorders>
              <w:top w:val="single" w:sz="1" w:space="0" w:color="D8D8D8"/>
              <w:left w:val="single" w:sz="1" w:space="0" w:color="D8D8D8"/>
              <w:bottom w:val="single" w:sz="1" w:space="0" w:color="D8D8D8"/>
              <w:right w:val="single" w:sz="1" w:space="0" w:color="D8D8D8"/>
            </w:tcBorders>
            <w:shd w:val="clear" w:color="auto" w:fill="2C2C2C"/>
            <w:tcMar>
              <w:top w:w="35" w:type="dxa"/>
              <w:left w:w="80" w:type="dxa"/>
              <w:bottom w:w="35" w:type="dxa"/>
              <w:right w:w="80" w:type="dxa"/>
            </w:tcMar>
          </w:tcPr>
          <w:p w14:paraId="08ACBD57" w14:textId="77777777" w:rsidR="006908A3" w:rsidRDefault="00000000">
            <w:r>
              <w:rPr>
                <w:b/>
                <w:bCs/>
                <w:color w:val="FFFFFF"/>
                <w:sz w:val="17"/>
                <w:szCs w:val="17"/>
              </w:rPr>
              <w:t>TDM &amp; Security</w:t>
            </w:r>
          </w:p>
        </w:tc>
        <w:tc>
          <w:tcPr>
            <w:tcW w:w="7160" w:type="dxa"/>
            <w:tcBorders>
              <w:top w:val="single" w:sz="1" w:space="0" w:color="D8D8D8"/>
              <w:left w:val="single" w:sz="1" w:space="0" w:color="D8D8D8"/>
              <w:bottom w:val="single" w:sz="1" w:space="0" w:color="D8D8D8"/>
              <w:right w:val="single" w:sz="1" w:space="0" w:color="D8D8D8"/>
            </w:tcBorders>
            <w:tcMar>
              <w:top w:w="35" w:type="dxa"/>
              <w:left w:w="80" w:type="dxa"/>
              <w:bottom w:w="35" w:type="dxa"/>
              <w:right w:w="80" w:type="dxa"/>
            </w:tcMar>
          </w:tcPr>
          <w:p w14:paraId="65E86D1F" w14:textId="77777777" w:rsidR="006908A3" w:rsidRDefault="00000000">
            <w:r>
              <w:rPr>
                <w:color w:val="444444"/>
                <w:sz w:val="17"/>
                <w:szCs w:val="17"/>
              </w:rPr>
              <w:t>Informatica TDM, SecuPi (Dynamic Masking, DAM), GenRocket (Synthetic Data), Data Masking, Subsetting, ABAC, RBAC, PCI/PII/PHI Protection</w:t>
            </w:r>
          </w:p>
        </w:tc>
      </w:tr>
      <w:tr w:rsidR="006908A3" w14:paraId="08512D88" w14:textId="77777777">
        <w:tblPrEx>
          <w:tblCellMar>
            <w:top w:w="0" w:type="dxa"/>
            <w:bottom w:w="0" w:type="dxa"/>
          </w:tblCellMar>
        </w:tblPrEx>
        <w:tc>
          <w:tcPr>
            <w:tcW w:w="2200" w:type="dxa"/>
            <w:tcBorders>
              <w:top w:val="single" w:sz="1" w:space="0" w:color="D8D8D8"/>
              <w:left w:val="single" w:sz="1" w:space="0" w:color="D8D8D8"/>
              <w:bottom w:val="single" w:sz="1" w:space="0" w:color="D8D8D8"/>
              <w:right w:val="single" w:sz="1" w:space="0" w:color="D8D8D8"/>
            </w:tcBorders>
            <w:shd w:val="clear" w:color="auto" w:fill="2C2C2C"/>
            <w:tcMar>
              <w:top w:w="35" w:type="dxa"/>
              <w:left w:w="80" w:type="dxa"/>
              <w:bottom w:w="35" w:type="dxa"/>
              <w:right w:w="80" w:type="dxa"/>
            </w:tcMar>
          </w:tcPr>
          <w:p w14:paraId="7D301615" w14:textId="77777777" w:rsidR="006908A3" w:rsidRDefault="00000000">
            <w:r>
              <w:rPr>
                <w:b/>
                <w:bCs/>
                <w:color w:val="FFFFFF"/>
                <w:sz w:val="17"/>
                <w:szCs w:val="17"/>
              </w:rPr>
              <w:t>Data Platforms</w:t>
            </w:r>
          </w:p>
        </w:tc>
        <w:tc>
          <w:tcPr>
            <w:tcW w:w="7160" w:type="dxa"/>
            <w:tcBorders>
              <w:top w:val="single" w:sz="1" w:space="0" w:color="D8D8D8"/>
              <w:left w:val="single" w:sz="1" w:space="0" w:color="D8D8D8"/>
              <w:bottom w:val="single" w:sz="1" w:space="0" w:color="D8D8D8"/>
              <w:right w:val="single" w:sz="1" w:space="0" w:color="D8D8D8"/>
            </w:tcBorders>
            <w:shd w:val="clear" w:color="auto" w:fill="FAFAFA"/>
            <w:tcMar>
              <w:top w:w="35" w:type="dxa"/>
              <w:left w:w="80" w:type="dxa"/>
              <w:bottom w:w="35" w:type="dxa"/>
              <w:right w:w="80" w:type="dxa"/>
            </w:tcMar>
          </w:tcPr>
          <w:p w14:paraId="38CC1512" w14:textId="77777777" w:rsidR="006908A3" w:rsidRDefault="00000000">
            <w:r>
              <w:rPr>
                <w:color w:val="444444"/>
                <w:sz w:val="17"/>
                <w:szCs w:val="17"/>
              </w:rPr>
              <w:t>Databricks (Unity Catalog, Delta Lake, DQX, Notebooks), Snowflake, Apache Spark, Azure Databricks, ADLS, AWS S3, Oracle, SQL Server, IBM DB2</w:t>
            </w:r>
          </w:p>
        </w:tc>
      </w:tr>
      <w:tr w:rsidR="006908A3" w14:paraId="64C286E6" w14:textId="77777777">
        <w:tblPrEx>
          <w:tblCellMar>
            <w:top w:w="0" w:type="dxa"/>
            <w:bottom w:w="0" w:type="dxa"/>
          </w:tblCellMar>
        </w:tblPrEx>
        <w:tc>
          <w:tcPr>
            <w:tcW w:w="2200" w:type="dxa"/>
            <w:tcBorders>
              <w:top w:val="single" w:sz="1" w:space="0" w:color="D8D8D8"/>
              <w:left w:val="single" w:sz="1" w:space="0" w:color="D8D8D8"/>
              <w:bottom w:val="single" w:sz="1" w:space="0" w:color="D8D8D8"/>
              <w:right w:val="single" w:sz="1" w:space="0" w:color="D8D8D8"/>
            </w:tcBorders>
            <w:shd w:val="clear" w:color="auto" w:fill="2C2C2C"/>
            <w:tcMar>
              <w:top w:w="35" w:type="dxa"/>
              <w:left w:w="80" w:type="dxa"/>
              <w:bottom w:w="35" w:type="dxa"/>
              <w:right w:w="80" w:type="dxa"/>
            </w:tcMar>
          </w:tcPr>
          <w:p w14:paraId="2D4C73A7" w14:textId="77777777" w:rsidR="006908A3" w:rsidRDefault="00000000">
            <w:r>
              <w:rPr>
                <w:b/>
                <w:bCs/>
                <w:color w:val="FFFFFF"/>
                <w:sz w:val="17"/>
                <w:szCs w:val="17"/>
              </w:rPr>
              <w:t>Integration &amp; ETL</w:t>
            </w:r>
          </w:p>
        </w:tc>
        <w:tc>
          <w:tcPr>
            <w:tcW w:w="7160" w:type="dxa"/>
            <w:tcBorders>
              <w:top w:val="single" w:sz="1" w:space="0" w:color="D8D8D8"/>
              <w:left w:val="single" w:sz="1" w:space="0" w:color="D8D8D8"/>
              <w:bottom w:val="single" w:sz="1" w:space="0" w:color="D8D8D8"/>
              <w:right w:val="single" w:sz="1" w:space="0" w:color="D8D8D8"/>
            </w:tcBorders>
            <w:tcMar>
              <w:top w:w="35" w:type="dxa"/>
              <w:left w:w="80" w:type="dxa"/>
              <w:bottom w:w="35" w:type="dxa"/>
              <w:right w:w="80" w:type="dxa"/>
            </w:tcMar>
          </w:tcPr>
          <w:p w14:paraId="68FD9ED0" w14:textId="77777777" w:rsidR="006908A3" w:rsidRDefault="00000000">
            <w:r>
              <w:rPr>
                <w:color w:val="444444"/>
                <w:sz w:val="17"/>
                <w:szCs w:val="17"/>
              </w:rPr>
              <w:t>Informatica PowerCenter, Alteryx, ADF, Synapse, SQL, Spark SQL, PL/SQL, Python, Regex</w:t>
            </w:r>
          </w:p>
        </w:tc>
      </w:tr>
      <w:tr w:rsidR="006908A3" w14:paraId="462DC707" w14:textId="77777777">
        <w:tblPrEx>
          <w:tblCellMar>
            <w:top w:w="0" w:type="dxa"/>
            <w:bottom w:w="0" w:type="dxa"/>
          </w:tblCellMar>
        </w:tblPrEx>
        <w:tc>
          <w:tcPr>
            <w:tcW w:w="2200" w:type="dxa"/>
            <w:tcBorders>
              <w:top w:val="single" w:sz="1" w:space="0" w:color="D8D8D8"/>
              <w:left w:val="single" w:sz="1" w:space="0" w:color="D8D8D8"/>
              <w:bottom w:val="single" w:sz="1" w:space="0" w:color="D8D8D8"/>
              <w:right w:val="single" w:sz="1" w:space="0" w:color="D8D8D8"/>
            </w:tcBorders>
            <w:shd w:val="clear" w:color="auto" w:fill="2C2C2C"/>
            <w:tcMar>
              <w:top w:w="35" w:type="dxa"/>
              <w:left w:w="80" w:type="dxa"/>
              <w:bottom w:w="35" w:type="dxa"/>
              <w:right w:w="80" w:type="dxa"/>
            </w:tcMar>
          </w:tcPr>
          <w:p w14:paraId="15BE10A1" w14:textId="77777777" w:rsidR="006908A3" w:rsidRDefault="00000000">
            <w:r>
              <w:rPr>
                <w:b/>
                <w:bCs/>
                <w:color w:val="FFFFFF"/>
                <w:sz w:val="17"/>
                <w:szCs w:val="17"/>
              </w:rPr>
              <w:t>Analytics &amp; BI</w:t>
            </w:r>
          </w:p>
        </w:tc>
        <w:tc>
          <w:tcPr>
            <w:tcW w:w="7160" w:type="dxa"/>
            <w:tcBorders>
              <w:top w:val="single" w:sz="1" w:space="0" w:color="D8D8D8"/>
              <w:left w:val="single" w:sz="1" w:space="0" w:color="D8D8D8"/>
              <w:bottom w:val="single" w:sz="1" w:space="0" w:color="D8D8D8"/>
              <w:right w:val="single" w:sz="1" w:space="0" w:color="D8D8D8"/>
            </w:tcBorders>
            <w:shd w:val="clear" w:color="auto" w:fill="FAFAFA"/>
            <w:tcMar>
              <w:top w:w="35" w:type="dxa"/>
              <w:left w:w="80" w:type="dxa"/>
              <w:bottom w:w="35" w:type="dxa"/>
              <w:right w:w="80" w:type="dxa"/>
            </w:tcMar>
          </w:tcPr>
          <w:p w14:paraId="3790B99E" w14:textId="77777777" w:rsidR="006908A3" w:rsidRDefault="00000000">
            <w:r>
              <w:rPr>
                <w:color w:val="444444"/>
                <w:sz w:val="17"/>
                <w:szCs w:val="17"/>
              </w:rPr>
              <w:t>Power BI, Tableau, ERWIN, ER Studio</w:t>
            </w:r>
          </w:p>
        </w:tc>
      </w:tr>
      <w:tr w:rsidR="006908A3" w14:paraId="4D55ADFD" w14:textId="77777777">
        <w:tblPrEx>
          <w:tblCellMar>
            <w:top w:w="0" w:type="dxa"/>
            <w:bottom w:w="0" w:type="dxa"/>
          </w:tblCellMar>
        </w:tblPrEx>
        <w:tc>
          <w:tcPr>
            <w:tcW w:w="2200" w:type="dxa"/>
            <w:tcBorders>
              <w:top w:val="single" w:sz="1" w:space="0" w:color="D8D8D8"/>
              <w:left w:val="single" w:sz="1" w:space="0" w:color="D8D8D8"/>
              <w:bottom w:val="single" w:sz="1" w:space="0" w:color="D8D8D8"/>
              <w:right w:val="single" w:sz="1" w:space="0" w:color="D8D8D8"/>
            </w:tcBorders>
            <w:shd w:val="clear" w:color="auto" w:fill="2C2C2C"/>
            <w:tcMar>
              <w:top w:w="35" w:type="dxa"/>
              <w:left w:w="80" w:type="dxa"/>
              <w:bottom w:w="35" w:type="dxa"/>
              <w:right w:w="80" w:type="dxa"/>
            </w:tcMar>
          </w:tcPr>
          <w:p w14:paraId="65392F35" w14:textId="77777777" w:rsidR="006908A3" w:rsidRDefault="00000000">
            <w:r>
              <w:rPr>
                <w:b/>
                <w:bCs/>
                <w:color w:val="FFFFFF"/>
                <w:sz w:val="17"/>
                <w:szCs w:val="17"/>
              </w:rPr>
              <w:t>Project Management</w:t>
            </w:r>
          </w:p>
        </w:tc>
        <w:tc>
          <w:tcPr>
            <w:tcW w:w="7160" w:type="dxa"/>
            <w:tcBorders>
              <w:top w:val="single" w:sz="1" w:space="0" w:color="D8D8D8"/>
              <w:left w:val="single" w:sz="1" w:space="0" w:color="D8D8D8"/>
              <w:bottom w:val="single" w:sz="1" w:space="0" w:color="D8D8D8"/>
              <w:right w:val="single" w:sz="1" w:space="0" w:color="D8D8D8"/>
            </w:tcBorders>
            <w:tcMar>
              <w:top w:w="35" w:type="dxa"/>
              <w:left w:w="80" w:type="dxa"/>
              <w:bottom w:w="35" w:type="dxa"/>
              <w:right w:w="80" w:type="dxa"/>
            </w:tcMar>
          </w:tcPr>
          <w:p w14:paraId="5DD4F206" w14:textId="77777777" w:rsidR="006908A3" w:rsidRDefault="00000000">
            <w:r>
              <w:rPr>
                <w:color w:val="444444"/>
                <w:sz w:val="17"/>
                <w:szCs w:val="17"/>
              </w:rPr>
              <w:t>PMP Certified, Agile/Scrum, Cross-functional stakeholder workshops, ServiceNow, Jira; AI-Assisted Tooling: Claude Code CLI, Codex CLI (OpenAI), Google Gemini CLI, MCP server integration; applied to governance automation and metadata enrichment</w:t>
            </w:r>
          </w:p>
        </w:tc>
      </w:tr>
    </w:tbl>
    <w:p w14:paraId="6B00ACA2" w14:textId="77777777" w:rsidR="006908A3" w:rsidRDefault="00000000">
      <w:pPr>
        <w:pBdr>
          <w:bottom w:val="single" w:sz="4" w:space="3" w:color="C9A84C"/>
        </w:pBdr>
        <w:spacing w:before="160" w:after="45"/>
      </w:pPr>
      <w:r>
        <w:rPr>
          <w:b/>
          <w:bCs/>
          <w:color w:val="2C2C2C"/>
          <w:sz w:val="22"/>
          <w:szCs w:val="22"/>
        </w:rPr>
        <w:t>AFFILIATIONS</w:t>
      </w:r>
    </w:p>
    <w:p w14:paraId="13EBA802" w14:textId="77777777" w:rsidR="006908A3" w:rsidRDefault="00000000">
      <w:pPr>
        <w:spacing w:before="30" w:after="10"/>
      </w:pPr>
      <w:r>
        <w:rPr>
          <w:color w:val="444444"/>
          <w:sz w:val="18"/>
          <w:szCs w:val="18"/>
        </w:rPr>
        <w:t>Member, DAMA International | Informatica Community Contributor (IDMC/CDGC user groups) | Active participant in Data Governance &amp; Catalog conferences.</w:t>
      </w:r>
    </w:p>
    <w:sectPr w:rsidR="006908A3">
      <w:pgSz w:w="12240" w:h="15840"/>
      <w:pgMar w:top="580" w:right="1080" w:bottom="52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13F17"/>
    <w:multiLevelType w:val="hybridMultilevel"/>
    <w:tmpl w:val="FFFFFFFF"/>
    <w:lvl w:ilvl="0" w:tplc="310E63C8">
      <w:start w:val="1"/>
      <w:numFmt w:val="bullet"/>
      <w:lvlText w:val="●"/>
      <w:lvlJc w:val="left"/>
      <w:pPr>
        <w:ind w:left="720" w:hanging="360"/>
      </w:pPr>
    </w:lvl>
    <w:lvl w:ilvl="1" w:tplc="89D2BD7A">
      <w:start w:val="1"/>
      <w:numFmt w:val="bullet"/>
      <w:lvlText w:val="○"/>
      <w:lvlJc w:val="left"/>
      <w:pPr>
        <w:ind w:left="1440" w:hanging="360"/>
      </w:pPr>
    </w:lvl>
    <w:lvl w:ilvl="2" w:tplc="7F80F272">
      <w:start w:val="1"/>
      <w:numFmt w:val="bullet"/>
      <w:lvlText w:val="■"/>
      <w:lvlJc w:val="left"/>
      <w:pPr>
        <w:ind w:left="2160" w:hanging="360"/>
      </w:pPr>
    </w:lvl>
    <w:lvl w:ilvl="3" w:tplc="C2860648">
      <w:start w:val="1"/>
      <w:numFmt w:val="bullet"/>
      <w:lvlText w:val="●"/>
      <w:lvlJc w:val="left"/>
      <w:pPr>
        <w:ind w:left="2880" w:hanging="360"/>
      </w:pPr>
    </w:lvl>
    <w:lvl w:ilvl="4" w:tplc="73504BD6">
      <w:start w:val="1"/>
      <w:numFmt w:val="bullet"/>
      <w:lvlText w:val="○"/>
      <w:lvlJc w:val="left"/>
      <w:pPr>
        <w:ind w:left="3600" w:hanging="360"/>
      </w:pPr>
    </w:lvl>
    <w:lvl w:ilvl="5" w:tplc="D988F5A2">
      <w:start w:val="1"/>
      <w:numFmt w:val="bullet"/>
      <w:lvlText w:val="■"/>
      <w:lvlJc w:val="left"/>
      <w:pPr>
        <w:ind w:left="4320" w:hanging="360"/>
      </w:pPr>
    </w:lvl>
    <w:lvl w:ilvl="6" w:tplc="E508E6A8">
      <w:start w:val="1"/>
      <w:numFmt w:val="bullet"/>
      <w:lvlText w:val="●"/>
      <w:lvlJc w:val="left"/>
      <w:pPr>
        <w:ind w:left="5040" w:hanging="360"/>
      </w:pPr>
    </w:lvl>
    <w:lvl w:ilvl="7" w:tplc="6C627620">
      <w:start w:val="1"/>
      <w:numFmt w:val="bullet"/>
      <w:lvlText w:val="●"/>
      <w:lvlJc w:val="left"/>
      <w:pPr>
        <w:ind w:left="5760" w:hanging="360"/>
      </w:pPr>
    </w:lvl>
    <w:lvl w:ilvl="8" w:tplc="25AE01F4">
      <w:start w:val="1"/>
      <w:numFmt w:val="bullet"/>
      <w:lvlText w:val="●"/>
      <w:lvlJc w:val="left"/>
      <w:pPr>
        <w:ind w:left="6480" w:hanging="360"/>
      </w:pPr>
    </w:lvl>
  </w:abstractNum>
  <w:abstractNum w:abstractNumId="1" w15:restartNumberingAfterBreak="0">
    <w:nsid w:val="500B0AD5"/>
    <w:multiLevelType w:val="hybridMultilevel"/>
    <w:tmpl w:val="FFFFFFFF"/>
    <w:lvl w:ilvl="0" w:tplc="956260A8">
      <w:start w:val="1"/>
      <w:numFmt w:val="bullet"/>
      <w:lvlText w:val="•"/>
      <w:lvlJc w:val="left"/>
      <w:pPr>
        <w:ind w:left="450" w:hanging="250"/>
      </w:pPr>
      <w:rPr>
        <w:rFonts w:ascii="Calibri" w:eastAsia="Calibri" w:hAnsi="Calibri" w:cs="Calibri"/>
        <w:sz w:val="19"/>
        <w:szCs w:val="19"/>
      </w:rPr>
    </w:lvl>
    <w:lvl w:ilvl="1" w:tplc="A3BE25C2">
      <w:numFmt w:val="decimal"/>
      <w:lvlText w:val=""/>
      <w:lvlJc w:val="left"/>
    </w:lvl>
    <w:lvl w:ilvl="2" w:tplc="EB4EB974">
      <w:numFmt w:val="decimal"/>
      <w:lvlText w:val=""/>
      <w:lvlJc w:val="left"/>
    </w:lvl>
    <w:lvl w:ilvl="3" w:tplc="13A64A08">
      <w:numFmt w:val="decimal"/>
      <w:lvlText w:val=""/>
      <w:lvlJc w:val="left"/>
    </w:lvl>
    <w:lvl w:ilvl="4" w:tplc="8230E938">
      <w:numFmt w:val="decimal"/>
      <w:lvlText w:val=""/>
      <w:lvlJc w:val="left"/>
    </w:lvl>
    <w:lvl w:ilvl="5" w:tplc="B6009288">
      <w:numFmt w:val="decimal"/>
      <w:lvlText w:val=""/>
      <w:lvlJc w:val="left"/>
    </w:lvl>
    <w:lvl w:ilvl="6" w:tplc="FFD8AF66">
      <w:numFmt w:val="decimal"/>
      <w:lvlText w:val=""/>
      <w:lvlJc w:val="left"/>
    </w:lvl>
    <w:lvl w:ilvl="7" w:tplc="90A44F80">
      <w:numFmt w:val="decimal"/>
      <w:lvlText w:val=""/>
      <w:lvlJc w:val="left"/>
    </w:lvl>
    <w:lvl w:ilvl="8" w:tplc="7A663B4C">
      <w:numFmt w:val="decimal"/>
      <w:lvlText w:val=""/>
      <w:lvlJc w:val="left"/>
    </w:lvl>
  </w:abstractNum>
  <w:num w:numId="1" w16cid:durableId="888498128">
    <w:abstractNumId w:val="0"/>
    <w:lvlOverride w:ilvl="0">
      <w:startOverride w:val="1"/>
    </w:lvlOverride>
  </w:num>
  <w:num w:numId="2" w16cid:durableId="95363679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4"/>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8A3"/>
    <w:rsid w:val="00034A7F"/>
    <w:rsid w:val="000E000A"/>
    <w:rsid w:val="00690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397AEC"/>
  <w15:docId w15:val="{E6D871D2-0B83-D04A-B7DA-C2E279FD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edin.com/in/faraz-m-0b6236b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1923</Words>
  <Characters>10962</Characters>
  <Application>Microsoft Office Word</Application>
  <DocSecurity>0</DocSecurity>
  <Lines>91</Lines>
  <Paragraphs>25</Paragraphs>
  <ScaleCrop>false</ScaleCrop>
  <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Faraz Md</cp:lastModifiedBy>
  <cp:revision>2</cp:revision>
  <dcterms:created xsi:type="dcterms:W3CDTF">2026-06-02T18:53:00Z</dcterms:created>
  <dcterms:modified xsi:type="dcterms:W3CDTF">2026-06-09T00:54:00Z</dcterms:modified>
</cp:coreProperties>
</file>