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A365D"/>
          <w:sz w:val="44"/>
        </w:rPr>
        <w:t>PRUDHVI RAJ VALLEM</w:t>
      </w:r>
    </w:p>
    <w:p>
      <w:pPr>
        <w:spacing w:after="120"/>
        <w:jc w:val="center"/>
      </w:pPr>
      <w:r>
        <w:rPr>
          <w:b/>
          <w:color w:val="777777"/>
          <w:sz w:val="26"/>
        </w:rPr>
        <w:t>DevOps / SRE / Cloud Engineer</w:t>
      </w:r>
    </w:p>
    <w:p>
      <w:pPr>
        <w:spacing w:after="360"/>
        <w:jc w:val="center"/>
      </w:pPr>
      <w:r>
        <w:rPr>
          <w:sz w:val="19"/>
        </w:rPr>
        <w:t>raj.vallem87@gmail.com   |   646-415-2607   |   linkedin.com/in/prudhvi-raj-vallem-38a55639/</w:t>
      </w:r>
    </w:p>
    <w:p>
      <w:pPr>
        <w:keepNext/>
        <w:spacing w:before="280" w:after="120"/>
        <w:pBdr>
          <w:bottom w:val="single" w:sz="8" w:space="4" w:color="1A365D"/>
        </w:pBdr>
      </w:pPr>
      <w:r>
        <w:rPr>
          <w:b/>
          <w:color w:val="1A365D"/>
          <w:sz w:val="24"/>
        </w:rPr>
        <w:t>PROFESSIONAL SUMMARY</w:t>
      </w:r>
    </w:p>
    <w:p>
      <w:pPr>
        <w:pStyle w:val="ListBullet"/>
      </w:pPr>
      <w:r>
        <w:t>DevOps / SRE / Cloud Engineer with 15 years of total IT experience, featuring 7+ years of hands-on experience in production support, reliability, automation, and cloud engineering, alongside 8+ years specializing in SAN storage architecture and enterprise systems administration.</w:t>
      </w:r>
    </w:p>
    <w:p>
      <w:pPr>
        <w:pStyle w:val="ListBullet"/>
      </w:pPr>
      <w:r>
        <w:t>AWS Certified SysOps Administrator – Associate with deep cloud expertise across AWS (GovCloud, EC2, S3, RDS, IAM, VPC, CloudWatch), Azure (VMs, Scale Sets, Traffic Manager, Azure AD), and GCP (Compute Engine, GKE, Cloud Build).</w:t>
      </w:r>
    </w:p>
    <w:p>
      <w:pPr>
        <w:pStyle w:val="ListBullet"/>
      </w:pPr>
      <w:r>
        <w:t>Extensive expertise in Infrastructure as Code (IaC) and configuration management utilizing Terraform, CloudFormation, Ansible, and Python (boto3).</w:t>
      </w:r>
    </w:p>
    <w:p>
      <w:pPr>
        <w:pStyle w:val="ListBullet"/>
      </w:pPr>
      <w:r>
        <w:t>Proficient in building robust CI/CD pipelines using Jenkins (Pipeline-as-Code), Concourse, and Bitbucket Pipelines.</w:t>
      </w:r>
    </w:p>
    <w:p>
      <w:pPr>
        <w:pStyle w:val="ListBullet"/>
      </w:pPr>
      <w:r>
        <w:t>Strong containerization and orchestration skills leveraging Docker and Kubernetes (EKS, GKE, AKS) with Helm charts for standardized deployment.</w:t>
      </w:r>
    </w:p>
    <w:p>
      <w:pPr>
        <w:pStyle w:val="ListBullet"/>
      </w:pPr>
      <w:r>
        <w:t>Experienced in leveraging AI-assisted engineering workflows to accelerate incident triage, optimize log/alert analysis, and standardize RCA/runbook documentation.</w:t>
      </w:r>
    </w:p>
    <w:p>
      <w:pPr>
        <w:pStyle w:val="ListBullet"/>
      </w:pPr>
      <w:r>
        <w:t>Comprehensive background in Linux (RHEL) administration, enterprise SAN infrastructure (Hitachi VSP, EMC VMAX), disaster recovery planning, and large-scale data migrations.</w:t>
      </w:r>
    </w:p>
    <w:p>
      <w:pPr>
        <w:keepNext/>
        <w:spacing w:before="280" w:after="120"/>
        <w:pBdr>
          <w:bottom w:val="single" w:sz="8" w:space="4" w:color="1A365D"/>
        </w:pBdr>
      </w:pPr>
      <w:r>
        <w:rPr>
          <w:b/>
          <w:color w:val="1A365D"/>
          <w:sz w:val="24"/>
        </w:rPr>
        <w:t>TECHNICAL SKILLS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68"/>
        <w:gridCol w:w="6912"/>
      </w:tblGrid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Cloud Technologies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AWS (including GovCloud), Azure IaaS/PaaS, Google Cloud Platform (GCP)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Automation &amp; IaC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Terraform, CloudFormation, Ansible, Shell Scripting (Bash), Python (Boto3), JSON, YAML, Groovy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Containers &amp; Orchestration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Docker, Kubernetes, Helm, AWS EKS, GCP GKE, Azure AKS, AWS ECS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CI/CD Tools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Jenkins (Pipeline-as-Code), Bitbucket Pipelines, Concourse, Git, GitHub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Monitoring &amp; Observability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ELK Stack (Elasticsearch, Logstash, Kibana), New Relic, CloudWatch, CloudTrail, Grafana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Web &amp; Application Servers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Apache, Nginx, Tomcat, WebSphere, JBoss, WebLogic, IIS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Databases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PostgreSQL, MySQL, SQL Server, Oracle, NoSQL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Hardware &amp; Storage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Hitachi VSP (G5500, G1500, GXX), EMC VMAX, EMC DMX, Brocade/Cisco MDS Switches</w:t>
            </w:r>
          </w:p>
        </w:tc>
      </w:tr>
      <w:tr>
        <w:tc>
          <w:tcPr>
            <w:tcW w:type="dxa" w:w="3168"/>
            <w:tcMar>
              <w:top w:w="40" w:type="dxa"/>
              <w:bottom w:w="40" w:type="dxa"/>
              <w:left w:w="0" w:type="dxa"/>
              <w:right w:w="100" w:type="dxa"/>
            </w:tcMar>
          </w:tcPr>
          <w:p>
            <w:pPr>
              <w:spacing w:after="40"/>
            </w:pPr>
            <w:r>
              <w:rPr>
                <w:b/>
                <w:sz w:val="20"/>
              </w:rPr>
              <w:t>Operating Systems</w:t>
            </w:r>
          </w:p>
        </w:tc>
        <w:tc>
          <w:tcPr>
            <w:tcW w:type="dxa" w:w="6912"/>
            <w:tcMar>
              <w:top w:w="40" w:type="dxa"/>
              <w:bottom w:w="40" w:type="dxa"/>
              <w:left w:w="100" w:type="dxa"/>
              <w:right w:w="0" w:type="dxa"/>
            </w:tcMar>
          </w:tcPr>
          <w:p>
            <w:pPr>
              <w:spacing w:after="40"/>
            </w:pPr>
            <w:r>
              <w:rPr>
                <w:sz w:val="20"/>
              </w:rPr>
              <w:t>Linux/Unix (RHEL), Windows Server, VMware</w:t>
            </w:r>
          </w:p>
        </w:tc>
      </w:tr>
    </w:tbl>
    <w:p>
      <w:pPr>
        <w:spacing w:after="80"/>
      </w:pPr>
    </w:p>
    <w:p>
      <w:pPr>
        <w:keepNext/>
        <w:spacing w:before="280" w:after="120"/>
        <w:pBdr>
          <w:bottom w:val="single" w:sz="8" w:space="4" w:color="1A365D"/>
        </w:pBdr>
      </w:pPr>
      <w:r>
        <w:rPr>
          <w:b/>
          <w:color w:val="1A365D"/>
          <w:sz w:val="24"/>
        </w:rPr>
        <w:t>PROFESSIONAL EXPERIENCE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</w:pPr>
            <w:r>
              <w:rPr>
                <w:b/>
                <w:color w:val="1A365D"/>
                <w:sz w:val="22"/>
              </w:rPr>
              <w:t>SAP NS2</w:t>
            </w:r>
            <w:r>
              <w:rPr>
                <w:sz w:val="22"/>
              </w:rPr>
              <w:t xml:space="preserve">  —  </w:t>
            </w:r>
            <w:r>
              <w:rPr>
                <w:i/>
                <w:sz w:val="21"/>
              </w:rPr>
              <w:t>Sr. DevOps Engineer</w:t>
            </w:r>
          </w:p>
        </w:tc>
        <w:tc>
          <w:tcPr>
            <w:tcW w:type="dxa" w:w="288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b/>
                <w:color w:val="777777"/>
                <w:sz w:val="20"/>
              </w:rPr>
              <w:t>Oct 2023 – Present</w:t>
            </w:r>
          </w:p>
        </w:tc>
      </w:tr>
    </w:tbl>
    <w:p>
      <w:pPr>
        <w:pStyle w:val="ListBullet"/>
      </w:pPr>
      <w:r>
        <w:t>Provided comprehensive production support for CPI services, SAP Ariba, UI Theme Designer, and Business Rules, driving prompt incident triage, resolution, and post-mortem follow-ups.</w:t>
      </w:r>
    </w:p>
    <w:p>
      <w:pPr>
        <w:pStyle w:val="ListBullet"/>
      </w:pPr>
      <w:r>
        <w:t>Managed, maintained, and optimized containerized application workloads in AWS GovCloud and Cloud Foundry environments, ensuring high availability and strict change execution controls.</w:t>
      </w:r>
    </w:p>
    <w:p>
      <w:pPr>
        <w:pStyle w:val="ListBullet"/>
      </w:pPr>
      <w:r>
        <w:t>Developed and troubleshot Concourse CI/CD pipelines to ensure continuous delivery and fix build breaks.</w:t>
      </w:r>
    </w:p>
    <w:p>
      <w:pPr>
        <w:pStyle w:val="ListBullet"/>
      </w:pPr>
      <w:r>
        <w:t>Orchestrated a successful PostgreSQL database migration to a hyperscaler, owning the planning, cutover validation, and post-migration stabilization phases.</w:t>
      </w:r>
    </w:p>
    <w:p>
      <w:pPr>
        <w:pStyle w:val="ListBullet"/>
      </w:pPr>
      <w:r>
        <w:t>Designed and deployed Kubernetes manifests (Deployments, Services, Ingress, ConfigMaps, Secrets) on AWS EKS, standardizing cloud releases with Helm charts.</w:t>
      </w:r>
    </w:p>
    <w:p>
      <w:pPr>
        <w:pStyle w:val="ListBullet"/>
      </w:pPr>
      <w:r>
        <w:t>Enhanced Kubernetes operational health by implementing resource requests/limits, health checks, autoscaling policies, and advanced metric visibility.</w:t>
      </w:r>
    </w:p>
    <w:p>
      <w:pPr>
        <w:pStyle w:val="ListBullet"/>
      </w:pPr>
      <w:r>
        <w:t>Integrated AI-assisted analysis to streamline log review summaries, identify anomalous error patterns, and accelerate root-cause analysis (RCA) and runbook generation.</w:t>
      </w:r>
    </w:p>
    <w:p>
      <w:pPr>
        <w:pStyle w:val="ListBullet"/>
      </w:pPr>
      <w:r>
        <w:t>Maintained rigid IAM and security compliance by remediating application vulnerabilities, updating security groups, and supporting enterprise audit readiness.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</w:pPr>
            <w:r>
              <w:rPr>
                <w:b/>
                <w:color w:val="1A365D"/>
                <w:sz w:val="22"/>
              </w:rPr>
              <w:t>Bank of America</w:t>
            </w:r>
            <w:r>
              <w:rPr>
                <w:sz w:val="22"/>
              </w:rPr>
              <w:t xml:space="preserve">  —  </w:t>
            </w:r>
            <w:r>
              <w:rPr>
                <w:i/>
                <w:sz w:val="21"/>
              </w:rPr>
              <w:t>Sr. DevOps Engineer</w:t>
            </w:r>
          </w:p>
        </w:tc>
        <w:tc>
          <w:tcPr>
            <w:tcW w:type="dxa" w:w="288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b/>
                <w:color w:val="777777"/>
                <w:sz w:val="20"/>
              </w:rPr>
              <w:t>Feb 2023 – Dec 2023</w:t>
            </w:r>
          </w:p>
        </w:tc>
      </w:tr>
    </w:tbl>
    <w:p>
      <w:pPr>
        <w:pStyle w:val="ListBullet"/>
      </w:pPr>
      <w:r>
        <w:t>Directed continuous integration and continuous deployment pipelines utilizing XLR Release Manager to automate multi-environment vendor image rollouts.</w:t>
      </w:r>
    </w:p>
    <w:p>
      <w:pPr>
        <w:pStyle w:val="ListBullet"/>
      </w:pPr>
      <w:r>
        <w:t>Managed vulnerability scanning workflows, implementing prompt patching and hotfixes across application environments.</w:t>
      </w:r>
    </w:p>
    <w:p>
      <w:pPr>
        <w:pStyle w:val="ListBullet"/>
      </w:pPr>
      <w:r>
        <w:t>Engineered AWS Glue ETL pipelines to ingest, transform, and map data from Amazon S3, RDS, and Redshift into analytics-ready datasets.</w:t>
      </w:r>
    </w:p>
    <w:p>
      <w:pPr>
        <w:pStyle w:val="ListBullet"/>
      </w:pPr>
      <w:r>
        <w:t>Constructed and managed Ansible Tower templates to control and standardize application releases.</w:t>
      </w:r>
    </w:p>
    <w:p>
      <w:pPr>
        <w:pStyle w:val="ListBullet"/>
      </w:pPr>
      <w:r>
        <w:t>Authored Dockerfiles and maintained container configurations to standardize local and remote development environments.</w:t>
      </w:r>
    </w:p>
    <w:p>
      <w:pPr>
        <w:pStyle w:val="ListBullet"/>
      </w:pPr>
      <w:r>
        <w:t>Governed IAM compliance across teams by routinely validating and upgrading AWS Security Groups.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</w:pPr>
            <w:r>
              <w:rPr>
                <w:b/>
                <w:color w:val="1A365D"/>
                <w:sz w:val="22"/>
              </w:rPr>
              <w:t>BioIntellisense</w:t>
            </w:r>
            <w:r>
              <w:rPr>
                <w:sz w:val="22"/>
              </w:rPr>
              <w:t xml:space="preserve">  —  </w:t>
            </w:r>
            <w:r>
              <w:rPr>
                <w:i/>
                <w:sz w:val="21"/>
              </w:rPr>
              <w:t>Sr. DevOps Engineer (GCP)</w:t>
            </w:r>
          </w:p>
        </w:tc>
        <w:tc>
          <w:tcPr>
            <w:tcW w:type="dxa" w:w="288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b/>
                <w:color w:val="777777"/>
                <w:sz w:val="20"/>
              </w:rPr>
              <w:t>Dec 2022 – May 2023</w:t>
            </w:r>
          </w:p>
        </w:tc>
      </w:tr>
    </w:tbl>
    <w:p>
      <w:pPr>
        <w:pStyle w:val="ListBullet"/>
      </w:pPr>
      <w:r>
        <w:t>Provisioned and managed scalable GCP infrastructure for python-based applications using modular Terraform architecture.</w:t>
      </w:r>
    </w:p>
    <w:p>
      <w:pPr>
        <w:pStyle w:val="ListBullet"/>
      </w:pPr>
      <w:r>
        <w:t>Developed reusable Terraform modules for a wide array of GCP resources including IAM, Pub/Sub, Secret Manager, GCS Buckets, Cloud Functions, and GKE.</w:t>
      </w:r>
    </w:p>
    <w:p>
      <w:pPr>
        <w:pStyle w:val="ListBullet"/>
      </w:pPr>
      <w:r>
        <w:t>Created Bitbucket Pipelines to orchestrate automated, multi-branch, and multi-environment deployments across Dev, Test, Staging, and Production.</w:t>
      </w:r>
    </w:p>
    <w:p>
      <w:pPr>
        <w:pStyle w:val="ListBullet"/>
      </w:pPr>
      <w:r>
        <w:t>Successfully migrated legacy monolith workloads from Google App Engine to microservices running on Google Kubernetes Engine (GKE).</w:t>
      </w:r>
    </w:p>
    <w:p>
      <w:pPr>
        <w:pStyle w:val="ListBullet"/>
      </w:pPr>
      <w:r>
        <w:t>Formulated and documented a comprehensive Disaster Recovery (DR) implementation strategy for critical infrastructure.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</w:pPr>
            <w:r>
              <w:rPr>
                <w:b/>
                <w:color w:val="1A365D"/>
                <w:sz w:val="22"/>
              </w:rPr>
              <w:t>Capital One</w:t>
            </w:r>
            <w:r>
              <w:rPr>
                <w:sz w:val="22"/>
              </w:rPr>
              <w:t xml:space="preserve">  —  </w:t>
            </w:r>
            <w:r>
              <w:rPr>
                <w:i/>
                <w:sz w:val="21"/>
              </w:rPr>
              <w:t>SRE / AWS DevOps Engineer</w:t>
            </w:r>
          </w:p>
        </w:tc>
        <w:tc>
          <w:tcPr>
            <w:tcW w:type="dxa" w:w="288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b/>
                <w:color w:val="777777"/>
                <w:sz w:val="20"/>
              </w:rPr>
              <w:t>Jan 2022 – Sept 2022</w:t>
            </w:r>
          </w:p>
        </w:tc>
      </w:tr>
    </w:tbl>
    <w:p>
      <w:pPr>
        <w:pStyle w:val="ListBullet"/>
      </w:pPr>
      <w:r>
        <w:t>Served as Site Reliability Engineer (SRE) managing and scaling multiple high-throughput Java and Python-based corporate applications.</w:t>
      </w:r>
    </w:p>
    <w:p>
      <w:pPr>
        <w:pStyle w:val="ListBullet"/>
      </w:pPr>
      <w:r>
        <w:t>Leveraged Terraform to provision AWS cloud resources including EC2, Application Load Balancers (ALB), RDS instances, Redshift, EMR clusters, and CloudWatch alarms.</w:t>
      </w:r>
    </w:p>
    <w:p>
      <w:pPr>
        <w:pStyle w:val="ListBullet"/>
      </w:pPr>
      <w:r>
        <w:t>Structured multi-region Jenkins pipelines to automatically deploy infrastructure code through lower environments and safely elevate to production.</w:t>
      </w:r>
    </w:p>
    <w:p>
      <w:pPr>
        <w:pStyle w:val="ListBullet"/>
      </w:pPr>
      <w:r>
        <w:t>Implemented Blue/Green deployment strategies for underlying infrastructure to achieve zero-downtime upgrades.</w:t>
      </w:r>
    </w:p>
    <w:p>
      <w:pPr>
        <w:pStyle w:val="ListBullet"/>
      </w:pPr>
      <w:r>
        <w:t>Created and validated a Robotic Process Automation (RPA) application workflow on AWS; drafted operational production runbooks and successfully navigated architecture review board approvals.</w:t>
      </w:r>
    </w:p>
    <w:p>
      <w:pPr>
        <w:pStyle w:val="ListBullet"/>
      </w:pPr>
      <w:r>
        <w:t>Developed custom Bash and Python automation scripts to replace manual systems administration tasks and parse bulk log data.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</w:pPr>
            <w:r>
              <w:rPr>
                <w:b/>
                <w:color w:val="1A365D"/>
                <w:sz w:val="22"/>
              </w:rPr>
              <w:t>Hitachi Vantara</w:t>
            </w:r>
            <w:r>
              <w:rPr>
                <w:sz w:val="22"/>
              </w:rPr>
              <w:t xml:space="preserve">  —  </w:t>
            </w:r>
            <w:r>
              <w:rPr>
                <w:i/>
                <w:sz w:val="21"/>
              </w:rPr>
              <w:t>AWS Cloud and DevOps Engineer</w:t>
            </w:r>
          </w:p>
        </w:tc>
        <w:tc>
          <w:tcPr>
            <w:tcW w:type="dxa" w:w="288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b/>
                <w:color w:val="777777"/>
                <w:sz w:val="20"/>
              </w:rPr>
              <w:t>Apr 2017 – Jan 2022</w:t>
            </w:r>
          </w:p>
        </w:tc>
      </w:tr>
    </w:tbl>
    <w:p>
      <w:pPr>
        <w:pStyle w:val="ListBullet"/>
      </w:pPr>
      <w:r>
        <w:t>Designed scalable, multi-cloud architectures across AWS and GCP using Terraform and Ansible in full alignment with Architecture Review Board (ARB) standards.</w:t>
      </w:r>
    </w:p>
    <w:p>
      <w:pPr>
        <w:pStyle w:val="ListBullet"/>
      </w:pPr>
      <w:r>
        <w:t>Deployed enterprise microservices on Google Kubernetes Engine (GKE) and AWS EKS, optimizing them via Helm packages for reproducible cluster builds.</w:t>
      </w:r>
    </w:p>
    <w:p>
      <w:pPr>
        <w:pStyle w:val="ListBullet"/>
      </w:pPr>
      <w:r>
        <w:t>Standardized secret management and application data protection by introducing HashiCorp Vault within GCP.</w:t>
      </w:r>
    </w:p>
    <w:p>
      <w:pPr>
        <w:pStyle w:val="ListBullet"/>
      </w:pPr>
      <w:r>
        <w:t>Setup automated image compilation workflows using Google Cloud Build, automatically shipping secure Docker containers to the Google Container Registry.</w:t>
      </w:r>
    </w:p>
    <w:p>
      <w:pPr>
        <w:pStyle w:val="ListBullet"/>
      </w:pPr>
      <w:r>
        <w:t>Formulated multi-node configurations for performance tracking using ELK Stack and New Relic, actively solving authentication and token-based issues via Kibana log auditing.</w:t>
      </w:r>
    </w:p>
    <w:p>
      <w:pPr>
        <w:pStyle w:val="ListBullet"/>
      </w:pPr>
      <w:r>
        <w:t>Consolidated fragmented source control platforms by migrating hundreds of legacy Git and SVN repositories over to structured Bitbucket spaces.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  <w:gridCol w:w="2880"/>
      </w:tblGrid>
      <w:tr>
        <w:tc>
          <w:tcPr>
            <w:tcW w:type="dxa" w:w="720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</w:pPr>
            <w:r>
              <w:rPr>
                <w:b/>
                <w:color w:val="1A365D"/>
                <w:sz w:val="22"/>
              </w:rPr>
              <w:t>Hitachi Vantara</w:t>
            </w:r>
            <w:r>
              <w:rPr>
                <w:sz w:val="22"/>
              </w:rPr>
              <w:t xml:space="preserve">  —  </w:t>
            </w:r>
            <w:r>
              <w:rPr>
                <w:i/>
                <w:sz w:val="21"/>
              </w:rPr>
              <w:t>Senior System Administrator / DevOps Engineer</w:t>
            </w:r>
          </w:p>
        </w:tc>
        <w:tc>
          <w:tcPr>
            <w:tcW w:type="dxa" w:w="2880"/>
            <w:tcMar>
              <w:top w:w="60" w:type="dxa"/>
              <w:bottom w:w="2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b/>
                <w:color w:val="777777"/>
                <w:sz w:val="20"/>
              </w:rPr>
              <w:t>Apr 2011 – Jan 2017</w:t>
            </w:r>
          </w:p>
        </w:tc>
      </w:tr>
    </w:tbl>
    <w:p>
      <w:pPr>
        <w:pStyle w:val="ListBullet"/>
      </w:pPr>
      <w:r>
        <w:t>Provided enterprise infrastructure consulting, SAN administration, and disaster recovery strategies for a diverse portfolio of Fortune 500 clients.</w:t>
      </w:r>
    </w:p>
    <w:p>
      <w:pPr>
        <w:pStyle w:val="ListBullet"/>
      </w:pPr>
      <w:r>
        <w:t>CBOE &amp; State Street Bank: Controlled large-scale SAN storage architectures and seamless data migration workflows.</w:t>
      </w:r>
    </w:p>
    <w:p>
      <w:pPr>
        <w:pStyle w:val="ListBullet"/>
      </w:pPr>
      <w:r>
        <w:t>Orlando Health &amp; Allstate: Architected and executed high-availability replication, disaster recovery simulation planning, and complex business continuity strategies.</w:t>
      </w:r>
    </w:p>
    <w:p>
      <w:pPr>
        <w:pStyle w:val="ListBullet"/>
      </w:pPr>
      <w:r>
        <w:t>Credit Suisse: Oversaw a multi-vendor data migration layout (3PAR/IBM/EMC to Hitachi) featuring a resilient 3-Data-Center (3DC) solution.</w:t>
      </w:r>
    </w:p>
    <w:p>
      <w:pPr>
        <w:pStyle w:val="ListBullet"/>
      </w:pPr>
      <w:r>
        <w:t>Verizon &amp; ExxonMobil: Conducted large-scale physical data center moves and non-disruptive migrations using TrueCopy and Hitachi Universal Replicator (HUR).</w:t>
      </w:r>
    </w:p>
    <w:p>
      <w:pPr>
        <w:keepNext/>
        <w:spacing w:before="280" w:after="120"/>
        <w:pBdr>
          <w:bottom w:val="single" w:sz="8" w:space="4" w:color="1A365D"/>
        </w:pBdr>
      </w:pPr>
      <w:r>
        <w:rPr>
          <w:b/>
          <w:color w:val="1A365D"/>
          <w:sz w:val="24"/>
        </w:rPr>
        <w:t>EDUCATION</w:t>
      </w:r>
    </w:p>
    <w:p>
      <w:pPr>
        <w:spacing w:after="40"/>
      </w:pPr>
      <w:r>
        <w:rPr>
          <w:b/>
        </w:rPr>
        <w:t>Master of Science in Electrical Engineering</w:t>
      </w:r>
      <w:r>
        <w:t xml:space="preserve">  |  University of New Orleans</w:t>
      </w:r>
    </w:p>
    <w:p>
      <w:pPr>
        <w:spacing w:after="40"/>
      </w:pPr>
      <w:r>
        <w:rPr>
          <w:b/>
        </w:rPr>
        <w:t>Bachelor of Technology in Electronics and Communications Engineering</w:t>
      </w:r>
      <w:r>
        <w:t xml:space="preserve">  |  JNTU Hyderabad, India</w:t>
      </w:r>
    </w:p>
    <w:p>
      <w:pPr>
        <w:keepNext/>
        <w:spacing w:before="280" w:after="120"/>
        <w:pBdr>
          <w:bottom w:val="single" w:sz="8" w:space="4" w:color="1A365D"/>
        </w:pBdr>
      </w:pPr>
      <w:r>
        <w:rPr>
          <w:b/>
          <w:color w:val="1A365D"/>
          <w:sz w:val="24"/>
        </w:rPr>
        <w:t>HONORS &amp; AWARDS</w:t>
      </w:r>
    </w:p>
    <w:p>
      <w:pPr>
        <w:pStyle w:val="ListBullet"/>
      </w:pPr>
      <w:r>
        <w:t>Platinum Recognition Award (Hitachi, 2015): Awarded for exceptional performance managing multiple high-profile enterprise accounts.</w:t>
      </w:r>
    </w:p>
    <w:p>
      <w:pPr>
        <w:pStyle w:val="ListBullet"/>
      </w:pPr>
      <w:r>
        <w:t>Special Deal Recognition Award (Hitachi, 2016): Received for technical infrastructure work that directly enabled a multi-million-dollar storage deal with a major healthcare client.</w:t>
      </w:r>
    </w:p>
    <w:p>
      <w:pPr>
        <w:pStyle w:val="ListBullet"/>
      </w:pPr>
      <w:r>
        <w:t>Customer Satisfaction Accolades: Earned multiple commendations from clients for outstanding operational delivery and system reliability.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